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46A1" w14:textId="45A5C4B4" w:rsidR="00E80524" w:rsidRDefault="00E80524" w:rsidP="00E80524">
      <w:pPr>
        <w:pStyle w:val="Kop2"/>
      </w:pPr>
      <w:r>
        <w:t>Report 3</w:t>
      </w:r>
      <w:r w:rsidR="00AF5CCE" w:rsidRPr="00AF5CCE">
        <w:t>, deadline see Canvas</w:t>
      </w:r>
    </w:p>
    <w:p w14:paraId="7E9C949B" w14:textId="77777777" w:rsidR="00E80524" w:rsidRDefault="00E80524" w:rsidP="00E80524">
      <w:pPr>
        <w:pStyle w:val="Kop2"/>
      </w:pPr>
      <w:r>
        <w:t>Target analysis of PCP</w:t>
      </w:r>
      <w:r w:rsidR="00773DF7">
        <w:t xml:space="preserve"> (1</w:t>
      </w:r>
      <w:r>
        <w:t xml:space="preserve"> points)</w:t>
      </w:r>
    </w:p>
    <w:p w14:paraId="57FE03E8" w14:textId="77777777" w:rsidR="00E80524" w:rsidRDefault="00E80524" w:rsidP="00E80524">
      <w:r>
        <w:t xml:space="preserve">As explained during the lecture, see also </w:t>
      </w:r>
      <w:r w:rsidRPr="00E80524">
        <w:t>compartment_models.pdf</w:t>
      </w:r>
      <w:r>
        <w:t xml:space="preserve"> and </w:t>
      </w:r>
      <w:r w:rsidRPr="00E80524">
        <w:t>20111124PCP.pdf</w:t>
      </w:r>
    </w:p>
    <w:p w14:paraId="46E8B006" w14:textId="77777777" w:rsidR="00E80524" w:rsidRPr="00E80524" w:rsidRDefault="00FB339C" w:rsidP="00E80524">
      <w:r>
        <w:t xml:space="preserve">Write a caption of ≈5 lines below a screenshot of the target analysis results. Add a screenshot of the full </w:t>
      </w:r>
      <w:proofErr w:type="spellStart"/>
      <w:r>
        <w:t>Kmatrix</w:t>
      </w:r>
      <w:proofErr w:type="spellEnd"/>
      <w:r>
        <w:t xml:space="preserve"> window.</w:t>
      </w:r>
    </w:p>
    <w:p w14:paraId="67B5C0BA" w14:textId="77777777" w:rsidR="00E80524" w:rsidRDefault="00E80524" w:rsidP="00E80524">
      <w:pPr>
        <w:pStyle w:val="Kop2"/>
      </w:pPr>
      <w:r>
        <w:t xml:space="preserve">Cyanobacterial </w:t>
      </w:r>
      <w:proofErr w:type="spellStart"/>
      <w:r>
        <w:t>phycobilisome</w:t>
      </w:r>
      <w:proofErr w:type="spellEnd"/>
      <w:r>
        <w:t xml:space="preserve"> core antenna CK</w:t>
      </w:r>
    </w:p>
    <w:p w14:paraId="42AF84A6" w14:textId="77777777" w:rsidR="00E80524" w:rsidRDefault="00E80524" w:rsidP="00E80524">
      <w:pPr>
        <w:rPr>
          <w:b/>
        </w:rPr>
      </w:pPr>
      <w:r>
        <w:t>(</w:t>
      </w:r>
      <w:r w:rsidR="00773DF7">
        <w:t>3</w:t>
      </w:r>
      <w:r>
        <w:t xml:space="preserve"> points) Start with an Empty Project, call it </w:t>
      </w:r>
      <w:r>
        <w:rPr>
          <w:b/>
        </w:rPr>
        <w:t>CK global</w:t>
      </w:r>
      <w:r>
        <w:t xml:space="preserve">, and perform a global analysis using </w:t>
      </w:r>
      <w:r>
        <w:rPr>
          <w:b/>
        </w:rPr>
        <w:t>two</w:t>
      </w:r>
      <w:r>
        <w:t xml:space="preserve"> components of emission data </w:t>
      </w:r>
      <w:r>
        <w:rPr>
          <w:b/>
        </w:rPr>
        <w:t xml:space="preserve">CKtr4U.ascii </w:t>
      </w:r>
      <w:r>
        <w:t>that were measured using a streak camera after 590 nm excitation</w:t>
      </w:r>
      <w:r>
        <w:rPr>
          <w:b/>
        </w:rPr>
        <w:t>.</w:t>
      </w:r>
    </w:p>
    <w:p w14:paraId="6280AF6A" w14:textId="77777777" w:rsidR="00E80524" w:rsidRDefault="00E80524" w:rsidP="00E80524">
      <w:r>
        <w:t xml:space="preserve">Use a weight of 0.3 for the data above 750 nm. Dispersion can be modelled with a second order polynomial, center wavelength 692 nm, coefficients 2.71 and −2.85. </w:t>
      </w:r>
    </w:p>
    <w:p w14:paraId="7DD670E9" w14:textId="77777777" w:rsidR="00E80524" w:rsidRDefault="00E80524" w:rsidP="00E80524">
      <w:r>
        <w:t>Interpret the EAS and DAS. Write a caption of ≈5 lines below a screenshot of the global analysis results.</w:t>
      </w:r>
    </w:p>
    <w:p w14:paraId="26B6A111" w14:textId="77777777" w:rsidR="00E80524" w:rsidRDefault="00E80524" w:rsidP="00E80524">
      <w:r>
        <w:t xml:space="preserve"> (4 points) CK contains 72 allophycocyanin pigments in total. These can be divided in two types of pigments, </w:t>
      </w:r>
      <w:proofErr w:type="spellStart"/>
      <w:r>
        <w:t>APCa</w:t>
      </w:r>
      <w:proofErr w:type="spellEnd"/>
      <w:r>
        <w:t xml:space="preserve"> (66) and </w:t>
      </w:r>
      <w:proofErr w:type="spellStart"/>
      <w:r>
        <w:t>APCb</w:t>
      </w:r>
      <w:proofErr w:type="spellEnd"/>
      <w:r>
        <w:t xml:space="preserve"> (6). Perform a target analysis as sketched below.</w:t>
      </w:r>
    </w:p>
    <w:p w14:paraId="474DDDEB" w14:textId="77777777" w:rsidR="00E80524" w:rsidRDefault="00E80524" w:rsidP="00E80524">
      <w:r>
        <w:rPr>
          <w:noProof/>
          <w:lang w:val="en-GB" w:eastAsia="en-GB"/>
        </w:rPr>
        <w:drawing>
          <wp:inline distT="0" distB="0" distL="0" distR="0" wp14:anchorId="49A4EC62" wp14:editId="570D4703">
            <wp:extent cx="3430270" cy="231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6AEC" w14:textId="77777777" w:rsidR="00E80524" w:rsidRDefault="00E80524" w:rsidP="00E80524">
      <w:r>
        <w:t xml:space="preserve">Fix </w:t>
      </w:r>
      <w:r>
        <w:rPr>
          <w:position w:val="-12"/>
        </w:rPr>
        <w:object w:dxaOrig="900" w:dyaOrig="360" w14:anchorId="336A2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8pt" o:ole="">
            <v:imagedata r:id="rId5" o:title=""/>
          </v:shape>
          <o:OLEObject Type="Embed" ProgID="Equation.DSMT4" ShapeID="_x0000_i1025" DrawAspect="Content" ObjectID="_1704895527" r:id="rId6"/>
        </w:object>
      </w:r>
      <w:r>
        <w:rPr>
          <w:vertAlign w:val="subscript"/>
        </w:rPr>
        <w:t xml:space="preserve">, </w:t>
      </w:r>
      <w:r>
        <w:rPr>
          <w:position w:val="-12"/>
        </w:rPr>
        <w:object w:dxaOrig="1005" w:dyaOrig="360" w14:anchorId="0B9A2F4E">
          <v:shape id="_x0000_i1026" type="#_x0000_t75" style="width:50.25pt;height:18pt" o:ole="">
            <v:imagedata r:id="rId7" o:title=""/>
          </v:shape>
          <o:OLEObject Type="Embed" ProgID="Equation.DSMT4" ShapeID="_x0000_i1026" DrawAspect="Content" ObjectID="_1704895528" r:id="rId8"/>
        </w:object>
      </w:r>
      <w:r>
        <w:t xml:space="preserve">, </w:t>
      </w:r>
      <w:r>
        <w:rPr>
          <w:position w:val="-12"/>
        </w:rPr>
        <w:object w:dxaOrig="1260" w:dyaOrig="360" w14:anchorId="35157311">
          <v:shape id="_x0000_i1027" type="#_x0000_t75" style="width:63.75pt;height:18pt" o:ole="">
            <v:imagedata r:id="rId9" o:title=""/>
          </v:shape>
          <o:OLEObject Type="Embed" ProgID="Equation.DSMT4" ShapeID="_x0000_i1027" DrawAspect="Content" ObjectID="_1704895529" r:id="rId10"/>
        </w:object>
      </w:r>
      <w:r>
        <w:t xml:space="preserve"> and </w:t>
      </w:r>
      <w:r>
        <w:rPr>
          <w:position w:val="-12"/>
        </w:rPr>
        <w:object w:dxaOrig="780" w:dyaOrig="360" w14:anchorId="12EC21B4">
          <v:shape id="_x0000_i1028" type="#_x0000_t75" style="width:39pt;height:18pt" o:ole="">
            <v:imagedata r:id="rId11" o:title=""/>
          </v:shape>
          <o:OLEObject Type="Embed" ProgID="Equation.DSMT4" ShapeID="_x0000_i1028" DrawAspect="Content" ObjectID="_1704895530" r:id="rId12"/>
        </w:object>
      </w:r>
      <w:r>
        <w:t xml:space="preserve">. Assume that the input for each compartment is proportional to the number of pigments it contains, </w:t>
      </w:r>
      <w:proofErr w:type="gramStart"/>
      <w:r>
        <w:t>i.e.</w:t>
      </w:r>
      <w:proofErr w:type="gramEnd"/>
      <w:r>
        <w:t xml:space="preserve"> </w:t>
      </w:r>
      <w:r>
        <w:rPr>
          <w:position w:val="-12"/>
        </w:rPr>
        <w:object w:dxaOrig="1350" w:dyaOrig="360" w14:anchorId="07D5B7A8">
          <v:shape id="_x0000_i1029" type="#_x0000_t75" style="width:67.5pt;height:18pt" o:ole="">
            <v:imagedata r:id="rId13" o:title=""/>
          </v:shape>
          <o:OLEObject Type="Embed" ProgID="Equation.DSMT4" ShapeID="_x0000_i1029" DrawAspect="Content" ObjectID="_1704895531" r:id="rId14"/>
        </w:object>
      </w:r>
      <w:r>
        <w:t xml:space="preserve">, </w:t>
      </w:r>
      <w:r>
        <w:rPr>
          <w:position w:val="-12"/>
        </w:rPr>
        <w:object w:dxaOrig="915" w:dyaOrig="360" w14:anchorId="2CF36387">
          <v:shape id="_x0000_i1030" type="#_x0000_t75" style="width:45.75pt;height:18pt" o:ole="">
            <v:imagedata r:id="rId15" o:title=""/>
          </v:shape>
          <o:OLEObject Type="Embed" ProgID="Equation.DSMT4" ShapeID="_x0000_i1030" DrawAspect="Content" ObjectID="_1704895532" r:id="rId16"/>
        </w:object>
      </w:r>
      <w:r>
        <w:t xml:space="preserve"> and </w:t>
      </w:r>
      <w:r>
        <w:rPr>
          <w:position w:val="-12"/>
        </w:rPr>
        <w:object w:dxaOrig="945" w:dyaOrig="360" w14:anchorId="103DEE10">
          <v:shape id="_x0000_i1031" type="#_x0000_t75" style="width:47.25pt;height:18pt" o:ole="">
            <v:imagedata r:id="rId17" o:title=""/>
          </v:shape>
          <o:OLEObject Type="Embed" ProgID="Equation.DSMT4" ShapeID="_x0000_i1031" DrawAspect="Content" ObjectID="_1704895533" r:id="rId18"/>
        </w:object>
      </w:r>
      <w:r>
        <w:t xml:space="preserve">. Estimate the unknown rate constants </w:t>
      </w:r>
      <w:r>
        <w:rPr>
          <w:position w:val="-12"/>
        </w:rPr>
        <w:object w:dxaOrig="555" w:dyaOrig="360" w14:anchorId="32E2A23F">
          <v:shape id="_x0000_i1032" type="#_x0000_t75" style="width:27.75pt;height:18pt" o:ole="">
            <v:imagedata r:id="rId19" o:title=""/>
          </v:shape>
          <o:OLEObject Type="Embed" ProgID="Equation.DSMT4" ShapeID="_x0000_i1032" DrawAspect="Content" ObjectID="_1704895534" r:id="rId20"/>
        </w:object>
      </w:r>
      <w:r>
        <w:t xml:space="preserve"> and write those estimates (and their estimated standard errors) in this report.</w:t>
      </w:r>
    </w:p>
    <w:p w14:paraId="7BDD9E72" w14:textId="77777777" w:rsidR="00E80524" w:rsidRDefault="00E80524" w:rsidP="00E80524">
      <w:r>
        <w:t>Fill the following table: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2394"/>
        <w:gridCol w:w="3243"/>
      </w:tblGrid>
      <w:tr w:rsidR="00E80524" w14:paraId="28BC4A13" w14:textId="77777777" w:rsidTr="00E8052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7CE5" w14:textId="77777777" w:rsidR="00E80524" w:rsidRDefault="00E80524">
            <w:pPr>
              <w:spacing w:after="0" w:line="240" w:lineRule="auto"/>
            </w:pPr>
            <w:r>
              <w:t>Species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0BE0" w14:textId="77777777" w:rsidR="00E80524" w:rsidRDefault="00E80524">
            <w:pPr>
              <w:spacing w:after="0" w:line="240" w:lineRule="auto"/>
            </w:pPr>
            <w:r>
              <w:t>Emission maximum (nm)</w:t>
            </w:r>
          </w:p>
        </w:tc>
      </w:tr>
      <w:tr w:rsidR="00E80524" w14:paraId="535827CA" w14:textId="77777777" w:rsidTr="00E8052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276C5" w14:textId="77777777" w:rsidR="00E80524" w:rsidRDefault="00E80524">
            <w:pPr>
              <w:spacing w:after="0" w:line="240" w:lineRule="auto"/>
            </w:pPr>
            <w:proofErr w:type="spellStart"/>
            <w:r>
              <w:t>APCa</w:t>
            </w:r>
            <w:proofErr w:type="spellEnd"/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426C" w14:textId="77777777" w:rsidR="00E80524" w:rsidRDefault="00E80524">
            <w:pPr>
              <w:spacing w:after="0" w:line="240" w:lineRule="auto"/>
            </w:pPr>
          </w:p>
        </w:tc>
      </w:tr>
      <w:tr w:rsidR="00E80524" w14:paraId="644D1037" w14:textId="77777777" w:rsidTr="00E8052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4247" w14:textId="77777777" w:rsidR="00E80524" w:rsidRDefault="00E80524">
            <w:pPr>
              <w:spacing w:after="0" w:line="240" w:lineRule="auto"/>
            </w:pPr>
            <w:proofErr w:type="spellStart"/>
            <w:r>
              <w:t>APCb</w:t>
            </w:r>
            <w:proofErr w:type="spellEnd"/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8C16" w14:textId="77777777" w:rsidR="00E80524" w:rsidRDefault="00E80524">
            <w:pPr>
              <w:spacing w:after="0" w:line="240" w:lineRule="auto"/>
            </w:pPr>
          </w:p>
        </w:tc>
      </w:tr>
    </w:tbl>
    <w:p w14:paraId="7B74014B" w14:textId="77777777" w:rsidR="00E80524" w:rsidRDefault="00E80524" w:rsidP="00E80524">
      <w:r>
        <w:t>Interpret the SAS. Write a caption of ≈5 lines below a screenshot of the target analysis results.</w:t>
      </w:r>
      <w:r w:rsidR="00FB339C">
        <w:t xml:space="preserve"> Add a screenshot of the full </w:t>
      </w:r>
      <w:proofErr w:type="spellStart"/>
      <w:r w:rsidR="00FB339C">
        <w:t>Kmatrix</w:t>
      </w:r>
      <w:proofErr w:type="spellEnd"/>
      <w:r w:rsidR="00FB339C">
        <w:t xml:space="preserve"> window.</w:t>
      </w:r>
    </w:p>
    <w:p w14:paraId="2C6288FE" w14:textId="77777777" w:rsidR="00E80524" w:rsidRDefault="00E80524" w:rsidP="00E80524">
      <w:r>
        <w:lastRenderedPageBreak/>
        <w:t xml:space="preserve"> (2 points) Answer the following question:</w:t>
      </w:r>
    </w:p>
    <w:p w14:paraId="5B2E3DBB" w14:textId="77777777" w:rsidR="00E80524" w:rsidRDefault="00E80524" w:rsidP="00E80524">
      <w:r>
        <w:t xml:space="preserve">In the fully equilibrated excited state, what are the relative populations of </w:t>
      </w:r>
      <w:proofErr w:type="spellStart"/>
      <w:r>
        <w:t>APCa</w:t>
      </w:r>
      <w:proofErr w:type="spellEnd"/>
      <w:r>
        <w:t xml:space="preserve"> and </w:t>
      </w:r>
      <w:proofErr w:type="spellStart"/>
      <w:r>
        <w:t>APCb</w:t>
      </w:r>
      <w:proofErr w:type="spellEnd"/>
      <w:r>
        <w:t xml:space="preserve"> pigments at 1000 </w:t>
      </w:r>
      <w:proofErr w:type="spellStart"/>
      <w:r>
        <w:t>ps</w:t>
      </w:r>
      <w:proofErr w:type="spellEnd"/>
      <w:r>
        <w:t xml:space="preserve">? How can this ratio be explained? Compute the entropy and the enthalpy difference between the </w:t>
      </w:r>
      <w:proofErr w:type="spellStart"/>
      <w:r>
        <w:t>APCa</w:t>
      </w:r>
      <w:proofErr w:type="spellEnd"/>
      <w:r>
        <w:t xml:space="preserve"> (66) and </w:t>
      </w:r>
      <w:proofErr w:type="spellStart"/>
      <w:r>
        <w:t>APCb</w:t>
      </w:r>
      <w:proofErr w:type="spellEnd"/>
      <w:r>
        <w:t xml:space="preserve"> (6) pigments, use </w:t>
      </w:r>
      <w:r>
        <w:rPr>
          <w:position w:val="-12"/>
        </w:rPr>
        <w:object w:dxaOrig="1485" w:dyaOrig="360" w14:anchorId="3B771AD6">
          <v:shape id="_x0000_i1033" type="#_x0000_t75" style="width:74.25pt;height:18pt" o:ole="">
            <v:imagedata r:id="rId21" o:title=""/>
          </v:shape>
          <o:OLEObject Type="Embed" ProgID="Equation.DSMT4" ShapeID="_x0000_i1033" DrawAspect="Content" ObjectID="_1704895535" r:id="rId22"/>
        </w:object>
      </w:r>
      <w:r>
        <w:t xml:space="preserve">. </w:t>
      </w:r>
    </w:p>
    <w:p w14:paraId="18031763" w14:textId="77777777" w:rsidR="00C02CDA" w:rsidRDefault="00AF5CCE"/>
    <w:sectPr w:rsidR="00C0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524"/>
    <w:rsid w:val="00041483"/>
    <w:rsid w:val="002E1FDE"/>
    <w:rsid w:val="00765436"/>
    <w:rsid w:val="00773DF7"/>
    <w:rsid w:val="007F4EA0"/>
    <w:rsid w:val="00AF5CCE"/>
    <w:rsid w:val="00D92AAB"/>
    <w:rsid w:val="00E80524"/>
    <w:rsid w:val="00FB339C"/>
    <w:rsid w:val="00FB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1B59"/>
  <w15:chartTrackingRefBased/>
  <w15:docId w15:val="{7CCFF712-4EC2-40DA-BDDE-49EF4336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80524"/>
    <w:pPr>
      <w:spacing w:after="200" w:line="276" w:lineRule="auto"/>
    </w:pPr>
    <w:rPr>
      <w:lang w:val="en-US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805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E805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table" w:styleId="Tabelraster">
    <w:name w:val="Table Grid"/>
    <w:basedOn w:val="Standaardtabel"/>
    <w:uiPriority w:val="59"/>
    <w:rsid w:val="00E8052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ism200</dc:creator>
  <cp:keywords/>
  <dc:description/>
  <cp:lastModifiedBy>ivo van stokkum</cp:lastModifiedBy>
  <cp:revision>3</cp:revision>
  <dcterms:created xsi:type="dcterms:W3CDTF">2020-03-03T15:31:00Z</dcterms:created>
  <dcterms:modified xsi:type="dcterms:W3CDTF">2022-01-28T16:08:00Z</dcterms:modified>
</cp:coreProperties>
</file>