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9C" w:rsidRDefault="00F82C41" w:rsidP="00F82C41">
      <w:pPr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ÚVOD DO ZOOLÓGIE</w:t>
      </w:r>
    </w:p>
    <w:p w:rsidR="00F82C41" w:rsidRDefault="00F82C41" w:rsidP="00F82C41">
      <w:pPr>
        <w:rPr>
          <w:sz w:val="24"/>
          <w:szCs w:val="24"/>
        </w:rPr>
      </w:pP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Zoológia je biologická veda o živočíchoch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Morfológia živočíchov skúma tvar a vonkajšiu stavbu tela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Anatómia živočíchov skúma vnútornú stavbu orgánov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Fyziológia živočíchov skúma organické/životné procesy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Etológia skúma správanie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Taxonómia = systematika (triedenie živočíchov do systému)</w:t>
      </w:r>
    </w:p>
    <w:p w:rsidR="00F82C41" w:rsidRDefault="00F82C41" w:rsidP="00F82C41">
      <w:pPr>
        <w:rPr>
          <w:sz w:val="24"/>
          <w:szCs w:val="24"/>
        </w:rPr>
      </w:pPr>
    </w:p>
    <w:p w:rsidR="00F82C41" w:rsidRDefault="00F82C41" w:rsidP="00F82C41">
      <w:pPr>
        <w:rPr>
          <w:sz w:val="24"/>
          <w:szCs w:val="24"/>
        </w:rPr>
      </w:pPr>
      <w:r>
        <w:rPr>
          <w:sz w:val="24"/>
          <w:szCs w:val="24"/>
        </w:rPr>
        <w:t>Charakteristické znaky živočíchov:</w:t>
      </w:r>
    </w:p>
    <w:p w:rsidR="00F82C41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Aktívny pohyb – pomocou svalových buniek, kvôli potrave, obrane, reprodukcií, migrácií...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Výživa – všetky živočíchy sú </w:t>
      </w:r>
      <w:proofErr w:type="spellStart"/>
      <w:r>
        <w:rPr>
          <w:sz w:val="24"/>
          <w:szCs w:val="24"/>
        </w:rPr>
        <w:t>heterotrofné</w:t>
      </w:r>
      <w:proofErr w:type="spellEnd"/>
      <w:r>
        <w:rPr>
          <w:sz w:val="24"/>
          <w:szCs w:val="24"/>
        </w:rPr>
        <w:t xml:space="preserve"> (sú </w:t>
      </w:r>
      <w:proofErr w:type="spellStart"/>
      <w:r>
        <w:rPr>
          <w:sz w:val="24"/>
          <w:szCs w:val="24"/>
        </w:rPr>
        <w:t>konzumenty</w:t>
      </w:r>
      <w:proofErr w:type="spellEnd"/>
      <w:r>
        <w:rPr>
          <w:sz w:val="24"/>
          <w:szCs w:val="24"/>
        </w:rPr>
        <w:t xml:space="preserve">) (s výnimkou takého malého </w:t>
      </w:r>
      <w:proofErr w:type="spellStart"/>
      <w:r>
        <w:rPr>
          <w:sz w:val="24"/>
          <w:szCs w:val="24"/>
        </w:rPr>
        <w:t>funky</w:t>
      </w:r>
      <w:proofErr w:type="spellEnd"/>
      <w:r>
        <w:rPr>
          <w:sz w:val="24"/>
          <w:szCs w:val="24"/>
        </w:rPr>
        <w:t xml:space="preserve"> stvorenia </w:t>
      </w:r>
      <w:proofErr w:type="spellStart"/>
      <w:r>
        <w:rPr>
          <w:sz w:val="24"/>
          <w:szCs w:val="24"/>
        </w:rPr>
        <w:t>idk</w:t>
      </w:r>
      <w:proofErr w:type="spellEnd"/>
      <w:r>
        <w:rPr>
          <w:sz w:val="24"/>
          <w:szCs w:val="24"/>
        </w:rPr>
        <w:t xml:space="preserve"> ako sa volá)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Zásobnou látkou nie je škrob ale glykogén a tuk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Obmedzené obdobie rastu, zložitý vývin – počas života prechádzajú zložitými </w:t>
      </w:r>
      <w:proofErr w:type="spellStart"/>
      <w:r>
        <w:rPr>
          <w:sz w:val="24"/>
          <w:szCs w:val="24"/>
        </w:rPr>
        <w:t>zmenamy</w:t>
      </w:r>
      <w:proofErr w:type="spellEnd"/>
      <w:r>
        <w:rPr>
          <w:sz w:val="24"/>
          <w:szCs w:val="24"/>
        </w:rPr>
        <w:t xml:space="preserve"> (+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law</w:t>
      </w:r>
      <w:proofErr w:type="spellEnd"/>
      <w:r>
        <w:rPr>
          <w:sz w:val="24"/>
          <w:szCs w:val="24"/>
        </w:rPr>
        <w:t xml:space="preserve"> :3c)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Špecifické regulačné mechanizmy, zabezpečujú </w:t>
      </w:r>
      <w:proofErr w:type="spellStart"/>
      <w:r>
        <w:rPr>
          <w:sz w:val="24"/>
          <w:szCs w:val="24"/>
        </w:rPr>
        <w:t>homeostázu</w:t>
      </w:r>
      <w:proofErr w:type="spellEnd"/>
      <w:r>
        <w:rPr>
          <w:sz w:val="24"/>
          <w:szCs w:val="24"/>
        </w:rPr>
        <w:t xml:space="preserve"> (stále vnútorné prostredie)</w:t>
      </w:r>
      <w:r w:rsidR="006B0B63">
        <w:rPr>
          <w:sz w:val="24"/>
          <w:szCs w:val="24"/>
        </w:rPr>
        <w:t>, sú 3 druhy: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Hormonálny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Nervový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Imunitný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jc w:val="center"/>
        <w:rPr>
          <w:sz w:val="24"/>
          <w:szCs w:val="24"/>
        </w:rPr>
      </w:pPr>
      <w:r>
        <w:rPr>
          <w:b/>
          <w:sz w:val="48"/>
          <w:szCs w:val="48"/>
        </w:rPr>
        <w:t>ŽIVOČIŠNÁ BUNKA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Živočíchy majú vždy </w:t>
      </w:r>
      <w:proofErr w:type="spellStart"/>
      <w:r>
        <w:rPr>
          <w:sz w:val="24"/>
          <w:szCs w:val="24"/>
        </w:rPr>
        <w:t>eukaryotické</w:t>
      </w:r>
      <w:proofErr w:type="spellEnd"/>
      <w:r>
        <w:rPr>
          <w:sz w:val="24"/>
          <w:szCs w:val="24"/>
        </w:rPr>
        <w:t xml:space="preserve"> bunky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Väčšinou mikroskopické (výnimkou je vtáčia vajcová bunka)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Rozmanitý tvar prispôsobený pre účel danej bunky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rPr>
          <w:sz w:val="24"/>
          <w:szCs w:val="24"/>
        </w:rPr>
      </w:pPr>
      <w:r>
        <w:rPr>
          <w:sz w:val="24"/>
          <w:szCs w:val="24"/>
        </w:rPr>
        <w:t>Osobitá štruktúra živočíšnych buniek: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Nemajú bunkovú stenu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Väčšinou </w:t>
      </w:r>
      <w:proofErr w:type="spellStart"/>
      <w:r>
        <w:rPr>
          <w:sz w:val="24"/>
          <w:szCs w:val="24"/>
        </w:rPr>
        <w:t>nemjú</w:t>
      </w:r>
      <w:proofErr w:type="spellEnd"/>
      <w:r>
        <w:rPr>
          <w:sz w:val="24"/>
          <w:szCs w:val="24"/>
        </w:rPr>
        <w:t xml:space="preserve"> vakuoly – okrem pulzujúcich vakuol </w:t>
      </w:r>
      <w:proofErr w:type="spellStart"/>
      <w:r>
        <w:rPr>
          <w:sz w:val="24"/>
          <w:szCs w:val="24"/>
        </w:rPr>
        <w:t>jednobunkovcov</w:t>
      </w:r>
      <w:proofErr w:type="spellEnd"/>
    </w:p>
    <w:p w:rsidR="006B0B63" w:rsidRDefault="003033B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Majú </w:t>
      </w:r>
      <w:proofErr w:type="spellStart"/>
      <w:r>
        <w:rPr>
          <w:sz w:val="24"/>
          <w:szCs w:val="24"/>
        </w:rPr>
        <w:t>lyzozómy</w:t>
      </w:r>
      <w:proofErr w:type="spellEnd"/>
      <w:r>
        <w:rPr>
          <w:sz w:val="24"/>
          <w:szCs w:val="24"/>
        </w:rPr>
        <w:t xml:space="preserve"> – obsahujú </w:t>
      </w:r>
      <w:proofErr w:type="spellStart"/>
      <w:r>
        <w:rPr>
          <w:sz w:val="24"/>
          <w:szCs w:val="24"/>
        </w:rPr>
        <w:t>hydrolitické</w:t>
      </w:r>
      <w:proofErr w:type="spellEnd"/>
      <w:r>
        <w:rPr>
          <w:sz w:val="24"/>
          <w:szCs w:val="24"/>
        </w:rPr>
        <w:t xml:space="preserve"> enzýmy -&gt;vnútrobunkové trávenie</w:t>
      </w:r>
    </w:p>
    <w:p w:rsidR="003033B3" w:rsidRDefault="003033B3" w:rsidP="003033B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Fibrilárne</w:t>
      </w:r>
      <w:proofErr w:type="spellEnd"/>
      <w:r>
        <w:rPr>
          <w:sz w:val="24"/>
          <w:szCs w:val="24"/>
        </w:rPr>
        <w:t xml:space="preserve"> štruktúry – mechanická, vodivá a pohybová funkcia, patria k nim: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Neurofibrily</w:t>
      </w:r>
      <w:proofErr w:type="spellEnd"/>
      <w:r>
        <w:rPr>
          <w:sz w:val="24"/>
          <w:szCs w:val="24"/>
        </w:rPr>
        <w:t xml:space="preserve"> – vedú </w:t>
      </w:r>
      <w:proofErr w:type="spellStart"/>
      <w:r>
        <w:rPr>
          <w:sz w:val="24"/>
          <w:szCs w:val="24"/>
        </w:rPr>
        <w:t>neurové</w:t>
      </w:r>
      <w:proofErr w:type="spellEnd"/>
      <w:r>
        <w:rPr>
          <w:sz w:val="24"/>
          <w:szCs w:val="24"/>
        </w:rPr>
        <w:t xml:space="preserve"> vzruchy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Tonofibrily</w:t>
      </w:r>
      <w:proofErr w:type="spellEnd"/>
      <w:r>
        <w:rPr>
          <w:sz w:val="24"/>
          <w:szCs w:val="24"/>
        </w:rPr>
        <w:t xml:space="preserve"> – dodávajú tkanivám pevnosť (súčasť </w:t>
      </w:r>
      <w:proofErr w:type="spellStart"/>
      <w:r>
        <w:rPr>
          <w:sz w:val="24"/>
          <w:szCs w:val="24"/>
        </w:rPr>
        <w:t>spojivých</w:t>
      </w:r>
      <w:proofErr w:type="spellEnd"/>
      <w:r>
        <w:rPr>
          <w:sz w:val="24"/>
          <w:szCs w:val="24"/>
        </w:rPr>
        <w:t xml:space="preserve"> tkanív)</w:t>
      </w:r>
    </w:p>
    <w:p w:rsidR="003033B3" w:rsidRP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Myofibrily</w:t>
      </w:r>
      <w:proofErr w:type="spellEnd"/>
      <w:r>
        <w:rPr>
          <w:sz w:val="24"/>
          <w:szCs w:val="24"/>
        </w:rPr>
        <w:t xml:space="preserve"> – základ svalových buniek, hlavnou zložkou sú bielkoviny </w:t>
      </w:r>
      <w:proofErr w:type="spellStart"/>
      <w:r>
        <w:rPr>
          <w:sz w:val="24"/>
          <w:szCs w:val="24"/>
        </w:rPr>
        <w:t>aktín</w:t>
      </w:r>
      <w:proofErr w:type="spellEnd"/>
      <w:r>
        <w:rPr>
          <w:sz w:val="24"/>
          <w:szCs w:val="24"/>
        </w:rPr>
        <w:t>, myozín</w:t>
      </w:r>
      <w:bookmarkStart w:id="0" w:name="_GoBack"/>
      <w:bookmarkEnd w:id="0"/>
    </w:p>
    <w:sectPr w:rsidR="003033B3" w:rsidRPr="00303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71396"/>
    <w:multiLevelType w:val="hybridMultilevel"/>
    <w:tmpl w:val="FF283A46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D6179"/>
    <w:multiLevelType w:val="hybridMultilevel"/>
    <w:tmpl w:val="EC62236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74"/>
    <w:rsid w:val="002D1B86"/>
    <w:rsid w:val="003033B3"/>
    <w:rsid w:val="00674CD7"/>
    <w:rsid w:val="006B0B63"/>
    <w:rsid w:val="007D159C"/>
    <w:rsid w:val="00B64174"/>
    <w:rsid w:val="00F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F32F"/>
  <w15:chartTrackingRefBased/>
  <w15:docId w15:val="{8FBBEB8E-4788-4F96-9ADA-F8555ED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dcterms:created xsi:type="dcterms:W3CDTF">2025-09-08T06:56:00Z</dcterms:created>
  <dcterms:modified xsi:type="dcterms:W3CDTF">2025-09-08T09:25:00Z</dcterms:modified>
</cp:coreProperties>
</file>