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7urdng99y53" w:id="0"/>
      <w:bookmarkEnd w:id="0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азвание задачи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Передача ставок в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call-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центры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hjk0fkfyohdk" w:id="1"/>
      <w:bookmarkEnd w:id="1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втор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Алексей Михайлов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anumrh8zrui" w:id="2"/>
      <w:bookmarkEnd w:id="2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Д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ата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2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.01.2025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fxc9a45514" w:id="3"/>
      <w:bookmarkEnd w:id="3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Ф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Опишите здесь верхнеуровневые </w:t>
      </w:r>
      <w:r>
        <w:rPr>
          <w:rtl w:val="0"/>
          <w:lang w:val="pt-PT"/>
        </w:rPr>
        <w:t xml:space="preserve">Use Cases. </w:t>
      </w:r>
      <w:r>
        <w:rPr>
          <w:rtl w:val="0"/>
          <w:lang w:val="ru-RU"/>
        </w:rPr>
        <w:t>Их нужно оформить в виде таблицы с пошаговым описанием</w:t>
      </w:r>
      <w:r>
        <w:rPr>
          <w:rtl w:val="0"/>
        </w:rPr>
        <w:t>:</w:t>
      </w:r>
    </w:p>
    <w:tbl>
      <w:tblPr>
        <w:tblW w:w="8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1735"/>
        <w:gridCol w:w="2047"/>
        <w:gridCol w:w="3958"/>
      </w:tblGrid>
      <w:tr>
        <w:tblPrEx>
          <w:shd w:val="clear" w:color="auto" w:fill="ced7e7"/>
        </w:tblPrEx>
        <w:trPr>
          <w:trHeight w:val="803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Действующие лица или системы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Use Case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UC1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Уточнение ставки по телефону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Клиент звонит в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предоставляет информацию об актуальных депозитных ставках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UC2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Получение актуальных ставок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запрашивает актуальные ставки через интерфейс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предоставляет ставки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используя последние полученные от банка данные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UC3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партнерского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Получение актуальных ставок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запрашивает актуальные ставки через интерфейс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 предоставляет ставки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используя последние полученные от банка данные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57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UC4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центра</w:t>
            </w:r>
          </w:p>
        </w:tc>
        <w:tc>
          <w:tcPr>
            <w:tcW w:type="dxa" w:w="204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Получение персональных ставок</w:t>
            </w:r>
          </w:p>
        </w:tc>
        <w:tc>
          <w:tcPr>
            <w:tcW w:type="dxa" w:w="39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запрашивает актуальные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персональные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ставки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клиента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через интерфейс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Система кол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центра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обращается к АБС для получения актуальных пероснальных ставок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АБС передает актуальный расчет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0"/>
              <w:bidi w:val="0"/>
              <w:spacing w:before="0" w:after="0" w:line="276" w:lineRule="auto"/>
              <w:ind w:right="0"/>
              <w:jc w:val="left"/>
              <w:outlineLvl w:val="9"/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Менеджер сообщает клиенту данные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u8xz25hbrgql" w:id="4"/>
      <w:bookmarkEnd w:id="4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ефункциональные требования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нефункциональные требования и архитектурно</w:t>
      </w:r>
      <w:r>
        <w:rPr>
          <w:rtl w:val="0"/>
        </w:rPr>
        <w:t>-</w:t>
      </w:r>
      <w:r>
        <w:rPr>
          <w:rtl w:val="0"/>
          <w:lang w:val="ru-RU"/>
        </w:rPr>
        <w:t>значимые требования</w:t>
      </w:r>
      <w:r>
        <w:rPr>
          <w:rtl w:val="0"/>
        </w:rPr>
        <w:t>.</w:t>
      </w:r>
    </w:p>
    <w:tbl>
      <w:tblPr>
        <w:tblW w:w="81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5"/>
        <w:gridCol w:w="7725"/>
      </w:tblGrid>
      <w:tr>
        <w:tblPrEx>
          <w:shd w:val="clear" w:color="auto" w:fill="ced7e7"/>
        </w:tblPrEx>
        <w:trPr>
          <w:trHeight w:val="575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Требование</w:t>
            </w:r>
          </w:p>
        </w:tc>
      </w:tr>
      <w:tr>
        <w:tblPrEx>
          <w:shd w:val="clear" w:color="auto" w:fill="ced7e7"/>
        </w:tblPrEx>
        <w:trPr>
          <w:trHeight w:val="528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 xml:space="preserve">Нет возможности сделать </w:t>
            </w:r>
            <w:r>
              <w:rPr>
                <w:rFonts w:ascii="Arial" w:cs="Arial Unicode MS" w:hAnsi="Arial" w:eastAsia="Arial Unicode MS"/>
                <w:rtl w:val="0"/>
              </w:rPr>
              <w:t>API-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вызовы </w:t>
            </w:r>
            <w:r>
              <w:rPr>
                <w:rFonts w:ascii="Arial" w:cs="Arial Unicode MS" w:hAnsi="Arial" w:eastAsia="Arial Unicode MS"/>
                <w:rtl w:val="0"/>
              </w:rPr>
              <w:t>(</w:t>
            </w:r>
            <w:r>
              <w:rPr>
                <w:rFonts w:ascii="Arial" w:cs="Arial Unicode MS" w:hAnsi="Arial" w:eastAsia="Arial Unicode MS" w:hint="default"/>
                <w:rtl w:val="0"/>
              </w:rPr>
              <w:t>например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 xml:space="preserve">через </w:t>
            </w:r>
            <w:r>
              <w:rPr>
                <w:rFonts w:ascii="Arial" w:cs="Arial Unicode MS" w:hAnsi="Arial" w:eastAsia="Arial Unicode MS"/>
                <w:rtl w:val="0"/>
              </w:rPr>
              <w:t>SFTP-</w:t>
            </w:r>
            <w:r>
              <w:rPr>
                <w:rFonts w:ascii="Arial" w:cs="Arial Unicode MS" w:hAnsi="Arial" w:eastAsia="Arial Unicode MS" w:hint="default"/>
                <w:rtl w:val="0"/>
              </w:rPr>
              <w:t>протокол</w:t>
            </w:r>
            <w:r>
              <w:rPr>
                <w:rFonts w:ascii="Arial" w:cs="Arial Unicode MS" w:hAnsi="Arial" w:eastAsia="Arial Unicode MS"/>
                <w:rtl w:val="0"/>
              </w:rPr>
              <w:t xml:space="preserve">) </w:t>
            </w:r>
            <w:r>
              <w:rPr>
                <w:rFonts w:ascii="Arial" w:cs="Arial Unicode MS" w:hAnsi="Arial" w:eastAsia="Arial Unicode MS" w:hint="default"/>
                <w:rtl w:val="0"/>
              </w:rPr>
              <w:t>при работе с партнерским кол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центром</w:t>
            </w:r>
            <w:r>
              <w:rPr>
                <w:rFonts w:ascii="Arial" w:cs="Arial Unicode MS" w:hAnsi="Arial" w:eastAsia="Arial Unicode MS"/>
                <w:rtl w:val="0"/>
              </w:rPr>
              <w:t xml:space="preserve">, </w:t>
            </w:r>
            <w:r>
              <w:rPr>
                <w:rFonts w:ascii="Arial" w:cs="Arial Unicode MS" w:hAnsi="Arial" w:eastAsia="Arial Unicode MS" w:hint="default"/>
                <w:rtl w:val="0"/>
              </w:rPr>
              <w:t>только передать файлы</w:t>
            </w:r>
            <w:r>
              <w:rPr>
                <w:rFonts w:ascii="Arial" w:cs="Arial Unicode MS" w:hAnsi="Arial" w:eastAsia="Arial Unicode MS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 w:hint="default"/>
                <w:rtl w:val="0"/>
              </w:rPr>
              <w:t>Необходимо подключить к работе партнёрский кол</w:t>
            </w:r>
            <w:r>
              <w:rPr>
                <w:rFonts w:ascii="Arial" w:cs="Arial Unicode MS" w:hAnsi="Arial" w:eastAsia="Arial Unicode MS"/>
                <w:rtl w:val="0"/>
              </w:rPr>
              <w:t>-</w:t>
            </w:r>
            <w:r>
              <w:rPr>
                <w:rFonts w:ascii="Arial" w:cs="Arial Unicode MS" w:hAnsi="Arial" w:eastAsia="Arial Unicode MS" w:hint="default"/>
                <w:rtl w:val="0"/>
              </w:rPr>
              <w:t>центр</w:t>
            </w:r>
          </w:p>
        </w:tc>
      </w:tr>
      <w:tr>
        <w:tblPrEx>
          <w:shd w:val="clear" w:color="auto" w:fill="ced7e7"/>
        </w:tblPrEx>
        <w:trPr>
          <w:trHeight w:val="631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</w:tabs>
              <w:suppressAutoHyphens w:val="1"/>
              <w:spacing w:before="0" w:line="324" w:lineRule="auto"/>
              <w:jc w:val="left"/>
            </w:pPr>
            <w:r>
              <w:rPr>
                <w:rFonts w:ascii="Helvetica" w:hAnsi="Helvetica" w:hint="default"/>
                <w:outline w:val="0"/>
                <w:color w:val="111111"/>
                <w:sz w:val="22"/>
                <w:szCs w:val="22"/>
                <w:rtl w:val="0"/>
                <w14:textFill>
                  <w14:solidFill>
                    <w14:srgbClr w14:val="111111"/>
                  </w14:solidFill>
                </w14:textFill>
              </w:rPr>
              <w:t>В случае сбоя регулярной отправки требуется повторная попытка отправки</w:t>
            </w:r>
            <w:r>
              <w:rPr>
                <w:rFonts w:ascii="Helvetica" w:hAnsi="Helvetica"/>
                <w:outline w:val="0"/>
                <w:color w:val="111111"/>
                <w:sz w:val="22"/>
                <w:szCs w:val="22"/>
                <w:rtl w:val="0"/>
                <w14:textFill>
                  <w14:solidFill>
                    <w14:srgbClr w14:val="111111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6740"/>
                <w:tab w:val="left" w:pos="6760"/>
                <w:tab w:val="left" w:pos="6780"/>
                <w:tab w:val="left" w:pos="6800"/>
                <w:tab w:val="left" w:pos="6820"/>
                <w:tab w:val="left" w:pos="6840"/>
                <w:tab w:val="left" w:pos="6860"/>
                <w:tab w:val="left" w:pos="6880"/>
                <w:tab w:val="left" w:pos="6900"/>
                <w:tab w:val="left" w:pos="6920"/>
                <w:tab w:val="left" w:pos="6940"/>
                <w:tab w:val="left" w:pos="6960"/>
                <w:tab w:val="left" w:pos="6980"/>
                <w:tab w:val="left" w:pos="7000"/>
                <w:tab w:val="left" w:pos="7020"/>
                <w:tab w:val="left" w:pos="7040"/>
                <w:tab w:val="left" w:pos="7060"/>
                <w:tab w:val="left" w:pos="7080"/>
                <w:tab w:val="left" w:pos="7100"/>
                <w:tab w:val="left" w:pos="7120"/>
                <w:tab w:val="left" w:pos="7140"/>
                <w:tab w:val="left" w:pos="7160"/>
                <w:tab w:val="left" w:pos="7180"/>
                <w:tab w:val="left" w:pos="7200"/>
                <w:tab w:val="left" w:pos="7220"/>
                <w:tab w:val="left" w:pos="7240"/>
                <w:tab w:val="left" w:pos="7260"/>
                <w:tab w:val="left" w:pos="7280"/>
                <w:tab w:val="left" w:pos="7300"/>
                <w:tab w:val="left" w:pos="7320"/>
                <w:tab w:val="left" w:pos="7340"/>
                <w:tab w:val="left" w:pos="7360"/>
                <w:tab w:val="left" w:pos="7380"/>
                <w:tab w:val="left" w:pos="7400"/>
                <w:tab w:val="left" w:pos="7420"/>
                <w:tab w:val="left" w:pos="7440"/>
                <w:tab w:val="left" w:pos="7460"/>
                <w:tab w:val="left" w:pos="7480"/>
                <w:tab w:val="left" w:pos="7500"/>
                <w:tab w:val="left" w:pos="7520"/>
                <w:tab w:val="left" w:pos="7540"/>
                <w:tab w:val="left" w:pos="7560"/>
                <w:tab w:val="left" w:pos="7580"/>
                <w:tab w:val="left" w:pos="7600"/>
                <w:tab w:val="left" w:pos="7620"/>
                <w:tab w:val="left" w:pos="7640"/>
                <w:tab w:val="left" w:pos="7660"/>
                <w:tab w:val="left" w:pos="7680"/>
                <w:tab w:val="left" w:pos="7700"/>
                <w:tab w:val="left" w:pos="7720"/>
              </w:tabs>
              <w:suppressAutoHyphens w:val="1"/>
              <w:spacing w:before="0" w:line="324" w:lineRule="auto"/>
              <w:jc w:val="left"/>
            </w:pPr>
            <w:r>
              <w:rPr>
                <w:rFonts w:ascii="Helvetica" w:hAnsi="Helvetica" w:hint="default"/>
                <w:outline w:val="0"/>
                <w:color w:val="111111"/>
                <w:sz w:val="22"/>
                <w:szCs w:val="22"/>
                <w:rtl w:val="0"/>
                <w14:textFill>
                  <w14:solidFill>
                    <w14:srgbClr w14:val="111111"/>
                  </w14:solidFill>
                </w14:textFill>
              </w:rPr>
              <w:t>Передаваемые в кол</w:t>
            </w:r>
            <w:r>
              <w:rPr>
                <w:rFonts w:ascii="Helvetica" w:hAnsi="Helvetica"/>
                <w:outline w:val="0"/>
                <w:color w:val="111111"/>
                <w:sz w:val="22"/>
                <w:szCs w:val="22"/>
                <w:rtl w:val="0"/>
                <w14:textFill>
                  <w14:solidFill>
                    <w14:srgbClr w14:val="111111"/>
                  </w14:solidFill>
                </w14:textFill>
              </w:rPr>
              <w:t>-</w:t>
            </w:r>
            <w:r>
              <w:rPr>
                <w:rFonts w:ascii="Helvetica" w:hAnsi="Helvetica" w:hint="default"/>
                <w:outline w:val="0"/>
                <w:color w:val="111111"/>
                <w:sz w:val="22"/>
                <w:szCs w:val="22"/>
                <w:rtl w:val="0"/>
                <w14:textFill>
                  <w14:solidFill>
                    <w14:srgbClr w14:val="111111"/>
                  </w14:solidFill>
                </w14:textFill>
              </w:rPr>
              <w:t>центры данные должны быть зашифрованы</w:t>
            </w:r>
          </w:p>
        </w:tc>
      </w:tr>
    </w:tbl>
    <w:p>
      <w:pPr>
        <w:pStyle w:val="Body"/>
        <w:widowControl w:val="0"/>
        <w:spacing w:before="240" w:after="240" w:line="240" w:lineRule="auto"/>
      </w:pP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qmphm5d6rvi3" w:id="5"/>
      <w:bookmarkEnd w:id="5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ешение</w:t>
      </w:r>
    </w:p>
    <w:p>
      <w:pPr>
        <w:pStyle w:val="Body"/>
        <w:spacing w:before="240" w:after="240"/>
      </w:pPr>
      <w:r>
        <w:rPr>
          <w:rtl w:val="0"/>
          <w:lang w:val="ru-RU"/>
        </w:rPr>
        <w:t xml:space="preserve">Приведите диаграммы контекста и контейнеров в модели </w:t>
      </w:r>
      <w:r>
        <w:rPr>
          <w:rtl w:val="0"/>
        </w:rPr>
        <w:t xml:space="preserve">C4. </w:t>
      </w:r>
      <w:r>
        <w:rPr>
          <w:rtl w:val="0"/>
          <w:lang w:val="ru-RU"/>
        </w:rPr>
        <w:t>Опишите там основные компоненты и интеграции всех элементов решения</w:t>
      </w:r>
      <w:r>
        <w:rPr>
          <w:rtl w:val="0"/>
        </w:rPr>
        <w:t xml:space="preserve">. 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опишите</w:t>
      </w:r>
      <w:r>
        <w:rPr>
          <w:rtl w:val="0"/>
        </w:rPr>
        <w:t xml:space="preserve">, </w:t>
      </w:r>
      <w:r>
        <w:rPr>
          <w:rtl w:val="0"/>
          <w:lang w:val="ru-RU"/>
        </w:rPr>
        <w:t>какой логикой вы руководствовались в ходе принятия решений и выбора технологий</w:t>
      </w:r>
      <w:r>
        <w:rPr>
          <w:rtl w:val="0"/>
        </w:rPr>
        <w:t xml:space="preserve">. </w:t>
      </w:r>
      <w:r>
        <w:rPr>
          <w:rtl w:val="0"/>
          <w:lang w:val="ru-RU"/>
        </w:rPr>
        <w:t>Не забывайте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необходимо учесть все функциональные и нефункциональные требования</w:t>
      </w:r>
      <w:r>
        <w:rPr>
          <w:rtl w:val="0"/>
        </w:rPr>
        <w:t>.</w:t>
      </w:r>
    </w:p>
    <w:p>
      <w:pPr>
        <w:pStyle w:val="Body"/>
        <w:spacing w:before="240" w:after="240"/>
      </w:pPr>
      <w:r>
        <w:drawing xmlns:a="http://schemas.openxmlformats.org/drawingml/2006/main">
          <wp:inline distT="0" distB="0" distL="0" distR="0">
            <wp:extent cx="3578667" cy="5727700"/>
            <wp:effectExtent l="0" t="0" r="0" b="0"/>
            <wp:docPr id="1073741825" name="officeArt object" descr="structurizr-1-SystemLandscape-00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tructurizr-1-SystemLandscape-001-2.png" descr="structurizr-1-SystemLandscape-001-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667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4660409" cy="5727700"/>
            <wp:effectExtent l="0" t="0" r="0" b="0"/>
            <wp:docPr id="1073741826" name="officeArt object" descr="structurizr-1-Container-00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tructurizr-1-Container-001-2.png" descr="structurizr-1-Container-001-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09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before="240" w:after="240"/>
      </w:pPr>
      <w:r>
        <w:rPr>
          <w:rtl w:val="0"/>
          <w:lang w:val="ru-RU"/>
        </w:rPr>
        <w:t>За синхронизацию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центров и актуальных ставок будет отвечать микро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сервис депозитов в АБС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Он на регулярной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 в день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основе будет передавать актуальные ставки в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центры</w:t>
      </w:r>
      <w:r>
        <w:rPr>
          <w:rtl w:val="0"/>
          <w:lang w:val="ru-RU"/>
        </w:rPr>
        <w:t xml:space="preserve">. </w:t>
      </w:r>
    </w:p>
    <w:p>
      <w:pPr>
        <w:pStyle w:val="Body"/>
        <w:spacing w:before="240" w:after="240"/>
      </w:pPr>
      <w:r>
        <w:rPr>
          <w:rtl w:val="0"/>
          <w:lang w:val="ru-RU"/>
        </w:rPr>
        <w:t>При работе с собственным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центром передача данных будет происходить по </w:t>
      </w:r>
      <w:r>
        <w:rPr>
          <w:rtl w:val="0"/>
          <w:lang w:val="en-US"/>
        </w:rPr>
        <w:t xml:space="preserve">REST API, </w:t>
      </w:r>
      <w:r>
        <w:rPr>
          <w:rtl w:val="0"/>
          <w:lang w:val="ru-RU"/>
        </w:rPr>
        <w:t>а также помимо глобальных ставок в собственном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центре банка можно будет получить персональные ставки конкретного клиента и проконсультировать его по ним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для партнёрского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центра эти данные не передаем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избежать вероятности утечек со стороны ИБ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однако по данному пункту нужно дополнительно проконсультироваться с отделом ИБ</w:t>
      </w:r>
      <w:r>
        <w:rPr>
          <w:rtl w:val="0"/>
          <w:lang w:val="ru-RU"/>
        </w:rPr>
        <w:t>).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требуется проконсультироваться с отделом ИБ по какому критерию система должна понимать что конкретному оператору собственного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центра можно дать доступ к персональным ставкам конкретного клиента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>Также для партнёрского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центра мы не можем использовать </w:t>
      </w:r>
      <w:r>
        <w:rPr>
          <w:rtl w:val="0"/>
          <w:lang w:val="en-US"/>
        </w:rPr>
        <w:t xml:space="preserve">API, </w:t>
      </w:r>
      <w:r>
        <w:rPr>
          <w:rtl w:val="0"/>
          <w:lang w:val="ru-RU"/>
        </w:rPr>
        <w:t>а только передавать файлы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регулярная задача будет формировать файл </w:t>
      </w:r>
      <w:r>
        <w:rPr>
          <w:rtl w:val="0"/>
          <w:lang w:val="en-US"/>
        </w:rPr>
        <w:t xml:space="preserve">XLS </w:t>
      </w:r>
      <w:r>
        <w:rPr>
          <w:rtl w:val="0"/>
          <w:lang w:val="ru-RU"/>
        </w:rPr>
        <w:t>и отправлять на емейл партнёрского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также требуется согласование с командой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центра партнёра что передача файла на </w:t>
      </w:r>
      <w:r>
        <w:rPr>
          <w:rtl w:val="0"/>
          <w:lang w:val="en-US"/>
        </w:rPr>
        <w:t xml:space="preserve">email </w:t>
      </w:r>
      <w:r>
        <w:rPr>
          <w:rtl w:val="0"/>
          <w:lang w:val="ru-RU"/>
        </w:rPr>
        <w:t>им подойдет</w:t>
      </w:r>
      <w:r>
        <w:rPr>
          <w:rtl w:val="0"/>
          <w:lang w:val="ru-RU"/>
        </w:rPr>
        <w:t>).</w:t>
      </w:r>
    </w:p>
    <w:p>
      <w:pPr>
        <w:pStyle w:val="Heading 3"/>
        <w:keepNext w:val="0"/>
        <w:keepLines w:val="0"/>
        <w:spacing w:before="28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bookmarkStart w:name="_bjrr7veeh80c" w:id="6"/>
      <w:bookmarkEnd w:id="6"/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льтернативы</w:t>
      </w:r>
    </w:p>
    <w:p>
      <w:pPr>
        <w:pStyle w:val="Body"/>
        <w:spacing w:before="240" w:after="240"/>
      </w:pPr>
      <w:r>
        <w:rPr>
          <w:rtl w:val="0"/>
          <w:lang w:val="ru-RU"/>
        </w:rPr>
        <w:t>Опишите здесь наиболее важные альтернативные решения</w:t>
      </w:r>
      <w:r>
        <w:rPr>
          <w:rtl w:val="0"/>
        </w:rPr>
        <w:t>.</w:t>
      </w:r>
    </w:p>
    <w:p>
      <w:pPr>
        <w:pStyle w:val="Body"/>
        <w:spacing w:before="240" w:after="240"/>
      </w:pPr>
      <w:r>
        <w:rPr>
          <w:rtl w:val="0"/>
          <w:lang w:val="ru-RU"/>
        </w:rPr>
        <w:t>Можно было бы выделить новый микросервис под задачу синхронизации ставок депозитов и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однако интеграции с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центром в микросервисе депозитов уже есть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домен крайне сильно связан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лучше в едином микросервисе депозитов обрабатывать всю связанную с депозитами логику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ведь в дальнейшем расчет ставок должен быть полностью автоматизирован и будет обрастать множеством логики</w:t>
      </w:r>
      <w:r>
        <w:rPr>
          <w:rtl w:val="0"/>
          <w:lang w:val="ru-RU"/>
        </w:rPr>
        <w:t>.</w:t>
      </w:r>
    </w:p>
    <w:p>
      <w:pPr>
        <w:pStyle w:val="Body"/>
        <w:spacing w:before="240" w:after="240"/>
      </w:pPr>
    </w:p>
    <w:p>
      <w:pPr>
        <w:pStyle w:val="Body"/>
        <w:spacing w:before="240" w:after="240"/>
        <w:rPr>
          <w:b w:val="1"/>
          <w:b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Недостатки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ограничения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6"/>
          <w:szCs w:val="26"/>
          <w:u w:color="000000"/>
          <w:rtl w:val="0"/>
          <w14:textFill>
            <w14:solidFill>
              <w14:srgbClr w14:val="000000"/>
            </w14:solidFill>
          </w14:textFill>
        </w:rPr>
        <w:t>риски</w:t>
      </w:r>
    </w:p>
    <w:p>
      <w:pPr>
        <w:pStyle w:val="Body"/>
        <w:spacing w:before="240" w:after="240"/>
      </w:pPr>
      <w:r>
        <w:rPr>
          <w:rtl w:val="0"/>
        </w:rPr>
        <w:t>Подробно опишите здесь недостатки</w:t>
      </w:r>
      <w:r>
        <w:rPr>
          <w:rtl w:val="0"/>
        </w:rPr>
        <w:t xml:space="preserve">, </w:t>
      </w:r>
      <w:r>
        <w:rPr>
          <w:rtl w:val="0"/>
          <w:lang w:val="ru-RU"/>
        </w:rPr>
        <w:t>ограничения и риски выбранного решения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>Риски</w:t>
      </w:r>
      <w:r>
        <w:rPr>
          <w:rtl w:val="0"/>
          <w:lang w:val="ru-RU"/>
        </w:rPr>
        <w:t>:</w:t>
      </w:r>
    </w:p>
    <w:p>
      <w:pPr>
        <w:pStyle w:val="Body"/>
        <w:numPr>
          <w:ilvl w:val="0"/>
          <w:numId w:val="6"/>
        </w:numPr>
      </w:pPr>
      <w:r>
        <w:rPr>
          <w:rtl w:val="0"/>
          <w:lang w:val="ru-RU"/>
        </w:rPr>
        <w:t>Партнёрский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центр будет упускать полученный файл с актуальными ставками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запутаются в них</w:t>
      </w:r>
    </w:p>
    <w:p>
      <w:pPr>
        <w:pStyle w:val="Body"/>
        <w:numPr>
          <w:ilvl w:val="0"/>
          <w:numId w:val="6"/>
        </w:numPr>
      </w:pPr>
      <w:r>
        <w:rPr>
          <w:rtl w:val="0"/>
          <w:lang w:val="ru-RU"/>
        </w:rPr>
        <w:t>Если ставки будут изменяться чаще чем раз в день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кол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центр будет использовать неактуальную информацию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однако это можно отрегулировать более частой передачей данных о актуальных ставках</w:t>
      </w:r>
      <w:r>
        <w:rPr>
          <w:rtl w:val="0"/>
          <w:lang w:val="ru-RU"/>
        </w:rPr>
        <w:t>).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