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CAP</w:t>
        <w:tab/>
        <w:t xml:space="preserve">Procedura di acesso al canale </w:t>
      </w:r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CRA</w:t>
        <w:tab/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Gli slot time sono uguali a 2^m -1 dove m  e il numero di collisioni subite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Esempio per 3 collisioni lo slot time e 2^3 - 1 (8) 0..7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1093"/>
        <w:gridCol w:w="1093"/>
      </w:tblGrid>
      <w:tr>
        <w:trPr>
          <w:trHeight w:val="353"/>
        </w:trPr>
        <w:tc>
          <w:tcPr>
            <w:tcBorders/>
            <w:tcW w:w="10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Se  n &lt;= 10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0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m=n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19"/>
        </w:trPr>
        <w:tc>
          <w:tcPr>
            <w:tcBorders/>
            <w:tcW w:w="10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Se 10 &lt; n &lt;= 16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0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m=10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519"/>
        </w:trPr>
        <w:tc>
          <w:tcPr>
            <w:tcBorders/>
            <w:tcW w:w="10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&gt; 16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10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XXXXXXX</w:t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LATE COLLISION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collision window e la finestra temporanea entro la quale quando avviene una collisione la stazione riconosce la collisione al livello 2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late collision e quando il segnale di jamming supera la dimensione del bit viene passato per corretto. L’errore verra riconosciuto dal livello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2024-04-11T07:20:42Z</dcterms:modified>
</cp:coreProperties>
</file>