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Information System Security Handbook</w:t>
      </w:r>
    </w:p>
    <w:p>
      <w:pPr>
        <w:pStyle w:val="Heading1"/>
      </w:pPr>
      <w:r>
        <w:t>Incident response timeframes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Severity</w:t>
            </w:r>
          </w:p>
        </w:tc>
        <w:tc>
          <w:tcPr>
            <w:tcW w:type="dxa" w:w="2880"/>
          </w:tcPr>
          <w:p>
            <w:r>
              <w:t>Report within</w:t>
            </w:r>
          </w:p>
        </w:tc>
        <w:tc>
          <w:tcPr>
            <w:tcW w:type="dxa" w:w="2880"/>
          </w:tcPr>
          <w:p>
            <w:r>
              <w:t>Containment target</w:t>
            </w:r>
          </w:p>
        </w:tc>
      </w:tr>
      <w:tr>
        <w:tc>
          <w:tcPr>
            <w:tcW w:type="dxa" w:w="2880"/>
          </w:tcPr>
          <w:p>
            <w:r>
              <w:t>SEV-1 Critical</w:t>
            </w:r>
          </w:p>
        </w:tc>
        <w:tc>
          <w:tcPr>
            <w:tcW w:type="dxa" w:w="2880"/>
          </w:tcPr>
          <w:p>
            <w:r>
              <w:t>15 minutes</w:t>
            </w:r>
          </w:p>
        </w:tc>
        <w:tc>
          <w:tcPr>
            <w:tcW w:type="dxa" w:w="2880"/>
          </w:tcPr>
          <w:p>
            <w:r>
              <w:t>4 hours</w:t>
            </w:r>
          </w:p>
        </w:tc>
      </w:tr>
      <w:tr>
        <w:tc>
          <w:tcPr>
            <w:tcW w:type="dxa" w:w="2880"/>
          </w:tcPr>
          <w:p>
            <w:r>
              <w:t>SEV-2 High</w:t>
            </w:r>
          </w:p>
        </w:tc>
        <w:tc>
          <w:tcPr>
            <w:tcW w:type="dxa" w:w="2880"/>
          </w:tcPr>
          <w:p>
            <w:r>
              <w:t>1 hour</w:t>
            </w:r>
          </w:p>
        </w:tc>
        <w:tc>
          <w:tcPr>
            <w:tcW w:type="dxa" w:w="2880"/>
          </w:tcPr>
          <w:p>
            <w:r>
              <w:t>24 hours</w:t>
            </w:r>
          </w:p>
        </w:tc>
      </w:tr>
      <w:tr>
        <w:tc>
          <w:tcPr>
            <w:tcW w:type="dxa" w:w="2880"/>
          </w:tcPr>
          <w:p>
            <w:r>
              <w:t>SEV-3 Moderate</w:t>
            </w:r>
          </w:p>
        </w:tc>
        <w:tc>
          <w:tcPr>
            <w:tcW w:type="dxa" w:w="2880"/>
          </w:tcPr>
          <w:p>
            <w:r>
              <w:t>4 hours</w:t>
            </w:r>
          </w:p>
        </w:tc>
        <w:tc>
          <w:tcPr>
            <w:tcW w:type="dxa" w:w="2880"/>
          </w:tcPr>
          <w:p>
            <w:r>
              <w:t>72 hours</w:t>
            </w:r>
          </w:p>
        </w:tc>
      </w:tr>
      <w:tr>
        <w:tc>
          <w:tcPr>
            <w:tcW w:type="dxa" w:w="2880"/>
          </w:tcPr>
          <w:p>
            <w:r>
              <w:t>SEV-4 Low</w:t>
            </w:r>
          </w:p>
        </w:tc>
        <w:tc>
          <w:tcPr>
            <w:tcW w:type="dxa" w:w="2880"/>
          </w:tcPr>
          <w:p>
            <w:r>
              <w:t>Next business day</w:t>
            </w:r>
          </w:p>
        </w:tc>
        <w:tc>
          <w:tcPr>
            <w:tcW w:type="dxa" w:w="2880"/>
          </w:tcPr>
          <w:p>
            <w:r>
              <w:t>5 business days</w:t>
            </w:r>
          </w:p>
        </w:tc>
      </w:tr>
    </w:tbl>
    <w:p>
      <w:r>
        <w:t>Severity is assigned by the on-call security duty officer and may be escalated at any time. Phishing reports from any employee are always acknowledged within one business day.</w:t>
      </w:r>
    </w:p>
    <w:p>
      <w:pPr>
        <w:pStyle w:val="Heading1"/>
      </w:pPr>
      <w:r>
        <w:t>Account and authentication rules</w:t>
      </w:r>
    </w:p>
    <w:p>
      <w:pPr>
        <w:pStyle w:val="ListBullet"/>
      </w:pPr>
      <w:r>
        <w:t>Passwords must be at least 14 characters and changed annually or immediately upon suspected compromise.</w:t>
      </w:r>
    </w:p>
    <w:p>
      <w:pPr>
        <w:pStyle w:val="ListBullet"/>
      </w:pPr>
      <w:r>
        <w:t>Privileged accounts require hardware token multi-factor authentication and quarterly access recertification.</w:t>
      </w:r>
    </w:p>
    <w:p>
      <w:pPr>
        <w:pStyle w:val="ListBullet"/>
      </w:pPr>
      <w:r>
        <w:t>Accounts are disabled after 45 days of inactivity and deleted after 90 days unless retained by a legal hold.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