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Telework and Remote Access Policy</w:t>
      </w:r>
    </w:p>
    <w:p>
      <w:pPr>
        <w:pStyle w:val="Heading1"/>
      </w:pPr>
      <w:r>
        <w:t>1. Purpose</w:t>
      </w:r>
    </w:p>
    <w:p>
      <w:r>
        <w:t>This policy establishes the requirements for telework, remote access to agency systems, and the protection of information assets outside agency facilities. It applies to all employees, contractors, and interns approved for remote work arrangements.</w:t>
      </w:r>
    </w:p>
    <w:p>
      <w:pPr>
        <w:pStyle w:val="Heading1"/>
      </w:pPr>
      <w:r>
        <w:t>2. Eligibility</w:t>
      </w:r>
    </w:p>
    <w:p>
      <w:r>
        <w:t>Telework is a management option, not an employee right. Eligibility requires a current performance rating of 'meets expectations' or higher, supervisor approval documented in the telework agreement, and a position whose duties can be performed remotely for the approved number of days per week.</w:t>
      </w:r>
    </w:p>
    <w:p>
      <w:pPr>
        <w:pStyle w:val="Heading1"/>
      </w:pPr>
      <w:r>
        <w:t>3. Maximum telework days</w:t>
      </w:r>
    </w:p>
    <w:tbl>
      <w:tblPr>
        <w:tblStyle w:val="TableGrid"/>
        <w:tblW w:type="auto" w:w="0"/>
        <w:tblLook w:firstColumn="1" w:firstRow="1" w:lastColumn="0" w:lastRow="0" w:noHBand="0" w:noVBand="1" w:val="04A0"/>
      </w:tblPr>
      <w:tblGrid>
        <w:gridCol w:w="2880"/>
        <w:gridCol w:w="2880"/>
        <w:gridCol w:w="2880"/>
      </w:tblGrid>
      <w:tr>
        <w:tc>
          <w:tcPr>
            <w:tcW w:type="dxa" w:w="2880"/>
          </w:tcPr>
          <w:p>
            <w:r>
              <w:t>Employee category</w:t>
            </w:r>
          </w:p>
        </w:tc>
        <w:tc>
          <w:tcPr>
            <w:tcW w:type="dxa" w:w="2880"/>
          </w:tcPr>
          <w:p>
            <w:r>
              <w:t>Max remote days/week</w:t>
            </w:r>
          </w:p>
        </w:tc>
        <w:tc>
          <w:tcPr>
            <w:tcW w:type="dxa" w:w="2880"/>
          </w:tcPr>
          <w:p>
            <w:r>
              <w:t>Approval authority</w:t>
            </w:r>
          </w:p>
        </w:tc>
      </w:tr>
      <w:tr>
        <w:tc>
          <w:tcPr>
            <w:tcW w:type="dxa" w:w="2880"/>
          </w:tcPr>
          <w:p>
            <w:r>
              <w:t>Full-time staff</w:t>
            </w:r>
          </w:p>
        </w:tc>
        <w:tc>
          <w:tcPr>
            <w:tcW w:type="dxa" w:w="2880"/>
          </w:tcPr>
          <w:p>
            <w:r>
              <w:t>3</w:t>
            </w:r>
          </w:p>
        </w:tc>
        <w:tc>
          <w:tcPr>
            <w:tcW w:type="dxa" w:w="2880"/>
          </w:tcPr>
          <w:p>
            <w:r>
              <w:t>Supervisor + Director</w:t>
            </w:r>
          </w:p>
        </w:tc>
      </w:tr>
      <w:tr>
        <w:tc>
          <w:tcPr>
            <w:tcW w:type="dxa" w:w="2880"/>
          </w:tcPr>
          <w:p>
            <w:r>
              <w:t>Contractors</w:t>
            </w:r>
          </w:p>
        </w:tc>
        <w:tc>
          <w:tcPr>
            <w:tcW w:type="dxa" w:w="2880"/>
          </w:tcPr>
          <w:p>
            <w:r>
              <w:t>2</w:t>
            </w:r>
          </w:p>
        </w:tc>
        <w:tc>
          <w:tcPr>
            <w:tcW w:type="dxa" w:w="2880"/>
          </w:tcPr>
          <w:p>
            <w:r>
              <w:t>Contracting Officer Representative</w:t>
            </w:r>
          </w:p>
        </w:tc>
      </w:tr>
      <w:tr>
        <w:tc>
          <w:tcPr>
            <w:tcW w:type="dxa" w:w="2880"/>
          </w:tcPr>
          <w:p>
            <w:r>
              <w:t>Emergency/medical</w:t>
            </w:r>
          </w:p>
        </w:tc>
        <w:tc>
          <w:tcPr>
            <w:tcW w:type="dxa" w:w="2880"/>
          </w:tcPr>
          <w:p>
            <w:r>
              <w:t>5</w:t>
            </w:r>
          </w:p>
        </w:tc>
        <w:tc>
          <w:tcPr>
            <w:tcW w:type="dxa" w:w="2880"/>
          </w:tcPr>
          <w:p>
            <w:r>
              <w:t>Human Resources Director</w:t>
            </w:r>
          </w:p>
        </w:tc>
      </w:tr>
    </w:tbl>
    <w:p>
      <w:pPr>
        <w:pStyle w:val="Heading1"/>
      </w:pPr>
      <w:r>
        <w:t>4. Technical requirements</w:t>
      </w:r>
    </w:p>
    <w:p>
      <w:pPr>
        <w:pStyle w:val="ListBullet"/>
      </w:pPr>
      <w:r>
        <w:t>Connection through the agency VPN with multi-factor authentication at all times.</w:t>
      </w:r>
    </w:p>
    <w:p>
      <w:pPr>
        <w:pStyle w:val="ListBullet"/>
      </w:pPr>
      <w:r>
        <w:t>Agency-issued devices only; personal devices are prohibited for processing agency data.</w:t>
      </w:r>
    </w:p>
    <w:p>
      <w:pPr>
        <w:pStyle w:val="ListBullet"/>
      </w:pPr>
      <w:r>
        <w:t>FIPS 140-2 validated disk encryption must remain enabled on all laptops.</w:t>
      </w:r>
    </w:p>
    <w:p>
      <w:pPr>
        <w:pStyle w:val="ListBullet"/>
      </w:pPr>
      <w:r>
        <w:t>Video conferencing for official business must use the approved conferencing platform.</w:t>
      </w:r>
    </w:p>
    <w:p>
      <w:pPr>
        <w:pStyle w:val="Heading1"/>
      </w:pPr>
      <w:r>
        <w:t>5. Records and confidentiality</w:t>
      </w:r>
    </w:p>
    <w:p>
      <w:r>
        <w:t>All records created while teleworking remain agency property subject to records retention schedules. Employees must not print, store, or transmit agency information through personal email accounts or unapproved cloud storage. Suspected compromise of a telework device must be reported to the Service Desk within one hour of discovery.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