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1128"/>
        <w:gridCol w:w="832"/>
        <w:gridCol w:w="2566"/>
        <w:gridCol w:w="2589"/>
      </w:tblGrid>
      <w:tr w:rsidR="008662AC" w:rsidRPr="008662AC" w:rsidTr="00BF4C66">
        <w:trPr>
          <w:trHeight w:val="6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ВАРИАНТЫ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ВЫБОРКА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КЛАСС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категориальный признак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количественный признак</w:t>
            </w:r>
          </w:p>
        </w:tc>
      </w:tr>
      <w:tr w:rsidR="008662AC" w:rsidRPr="008662AC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2019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топлива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 рубли</w:t>
            </w:r>
          </w:p>
        </w:tc>
      </w:tr>
      <w:tr w:rsidR="008662AC" w:rsidRPr="008662AC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2019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коробка передач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 рубли</w:t>
            </w:r>
          </w:p>
        </w:tc>
      </w:tr>
      <w:tr w:rsidR="008662AC" w:rsidRPr="008662AC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2019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привод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пробег</w:t>
            </w:r>
          </w:p>
        </w:tc>
      </w:tr>
      <w:tr w:rsidR="008662AC" w:rsidRPr="008662AC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2019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привод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gramStart"/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лошадиные  силы</w:t>
            </w:r>
            <w:proofErr w:type="gramEnd"/>
          </w:p>
        </w:tc>
      </w:tr>
      <w:tr w:rsidR="008662AC" w:rsidRPr="008662AC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2019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коробка передач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объем двигателя</w:t>
            </w:r>
          </w:p>
        </w:tc>
      </w:tr>
      <w:tr w:rsidR="008662AC" w:rsidRPr="008662AC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2023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коробка передач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объем двигателя</w:t>
            </w:r>
          </w:p>
        </w:tc>
      </w:tr>
      <w:tr w:rsidR="008662AC" w:rsidRPr="008662AC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2023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привод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пробег</w:t>
            </w:r>
          </w:p>
        </w:tc>
      </w:tr>
      <w:tr w:rsidR="008662AC" w:rsidRPr="008662AC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2023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коробка передач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возраст</w:t>
            </w:r>
          </w:p>
        </w:tc>
      </w:tr>
      <w:tr w:rsidR="008662AC" w:rsidRPr="008662AC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2023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топлива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цена </w:t>
            </w:r>
            <w:proofErr w:type="spellStart"/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долары</w:t>
            </w:r>
            <w:proofErr w:type="spellEnd"/>
          </w:p>
        </w:tc>
      </w:tr>
      <w:tr w:rsidR="008662AC" w:rsidRPr="008662AC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2023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топлива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 доллары</w:t>
            </w:r>
          </w:p>
        </w:tc>
      </w:tr>
    </w:tbl>
    <w:p w:rsidR="008662AC" w:rsidRDefault="008662AC">
      <w:r>
        <w:t xml:space="preserve"> </w:t>
      </w:r>
    </w:p>
    <w:p w:rsidR="008752C8" w:rsidRDefault="008662AC">
      <w:r>
        <w:t xml:space="preserve">Задание </w:t>
      </w:r>
    </w:p>
    <w:p w:rsidR="00EE5EE3" w:rsidRPr="00EE5EE3" w:rsidRDefault="00EE5EE3">
      <w:pPr>
        <w:rPr>
          <w:lang w:val="en-US"/>
        </w:rPr>
      </w:pPr>
    </w:p>
    <w:p w:rsidR="008662AC" w:rsidRDefault="008662AC">
      <w:proofErr w:type="gramStart"/>
      <w:r>
        <w:t>СОГЛАСНО ВАРИАНТА</w:t>
      </w:r>
      <w:proofErr w:type="gramEnd"/>
      <w:r>
        <w:t xml:space="preserve"> </w:t>
      </w:r>
    </w:p>
    <w:p w:rsidR="008662AC" w:rsidRDefault="008662AC" w:rsidP="008662AC">
      <w:pPr>
        <w:pStyle w:val="a3"/>
        <w:numPr>
          <w:ilvl w:val="0"/>
          <w:numId w:val="1"/>
        </w:numPr>
      </w:pPr>
      <w:r>
        <w:t>Описать структуру выбранного класса по категориальному признаку. Визуализировать результат</w:t>
      </w:r>
      <w:r w:rsidRPr="008662AC">
        <w:t xml:space="preserve"> </w:t>
      </w:r>
      <w:r>
        <w:rPr>
          <w:lang w:val="en-US"/>
        </w:rPr>
        <w:t>c</w:t>
      </w:r>
      <w:r w:rsidRPr="008662AC">
        <w:t xml:space="preserve"> </w:t>
      </w:r>
      <w:r>
        <w:t xml:space="preserve">помощью </w:t>
      </w:r>
      <w:proofErr w:type="spellStart"/>
      <w:r>
        <w:rPr>
          <w:lang w:val="en-US"/>
        </w:rPr>
        <w:t>barplot</w:t>
      </w:r>
      <w:proofErr w:type="spellEnd"/>
      <w:r w:rsidRPr="008662AC">
        <w:t xml:space="preserve"> </w:t>
      </w:r>
      <w:r>
        <w:t>и круговой диаграммы с соответствующими подписями.</w:t>
      </w:r>
    </w:p>
    <w:p w:rsidR="008662AC" w:rsidRDefault="008662AC" w:rsidP="008662AC">
      <w:pPr>
        <w:pStyle w:val="a3"/>
        <w:numPr>
          <w:ilvl w:val="0"/>
          <w:numId w:val="1"/>
        </w:numPr>
      </w:pPr>
      <w:r>
        <w:t>Выполнить описательную статистику количественного признака</w:t>
      </w:r>
      <w:r>
        <w:t xml:space="preserve">, результаты представить в </w:t>
      </w:r>
      <w:r>
        <w:rPr>
          <w:lang w:val="en-US"/>
        </w:rPr>
        <w:t>Word</w:t>
      </w:r>
      <w:r>
        <w:t xml:space="preserve"> с помощью пакета </w:t>
      </w:r>
      <w:r>
        <w:rPr>
          <w:lang w:val="en-US"/>
        </w:rPr>
        <w:t>stargazer</w:t>
      </w:r>
      <w:r w:rsidR="00BF4C66" w:rsidRPr="00BF4C66">
        <w:t>.</w:t>
      </w:r>
    </w:p>
    <w:p w:rsidR="008662AC" w:rsidRDefault="008662AC" w:rsidP="008662AC">
      <w:pPr>
        <w:pStyle w:val="a3"/>
        <w:numPr>
          <w:ilvl w:val="0"/>
          <w:numId w:val="1"/>
        </w:numPr>
      </w:pPr>
      <w:r>
        <w:t xml:space="preserve">Визуализировать распределение количественного признака на одном графике с помощью </w:t>
      </w:r>
      <w:r>
        <w:t>гистограмм</w:t>
      </w:r>
      <w:r>
        <w:t xml:space="preserve"> и </w:t>
      </w:r>
      <w:proofErr w:type="gramStart"/>
      <w:r>
        <w:rPr>
          <w:lang w:val="en-US"/>
        </w:rPr>
        <w:t>boxplot</w:t>
      </w:r>
      <w:r w:rsidRPr="008662AC">
        <w:t xml:space="preserve"> </w:t>
      </w:r>
      <w:r>
        <w:t xml:space="preserve"> для</w:t>
      </w:r>
      <w:proofErr w:type="gramEnd"/>
      <w:r>
        <w:t xml:space="preserve"> каждого значения категориального признака. </w:t>
      </w:r>
    </w:p>
    <w:p w:rsidR="00EE5EE3" w:rsidRPr="008662AC" w:rsidRDefault="00EE5EE3" w:rsidP="00EE5EE3">
      <w:pPr>
        <w:pStyle w:val="a3"/>
        <w:numPr>
          <w:ilvl w:val="0"/>
          <w:numId w:val="1"/>
        </w:numPr>
      </w:pPr>
      <w:r>
        <w:t xml:space="preserve">Проверить гипотезу о принадлежности выборки к генеральной совокупности, распределенной по </w:t>
      </w:r>
      <w:proofErr w:type="gramStart"/>
      <w:r>
        <w:t>нормальному  закону</w:t>
      </w:r>
      <w:proofErr w:type="gramEnd"/>
      <w:r>
        <w:t>.</w:t>
      </w:r>
      <w:r w:rsidR="00A452F6" w:rsidRPr="00A452F6">
        <w:t xml:space="preserve"> </w:t>
      </w:r>
      <w:r w:rsidR="00A452F6">
        <w:t>Указать функцию распределния.</w:t>
      </w:r>
      <w:r>
        <w:t xml:space="preserve">  </w:t>
      </w:r>
    </w:p>
    <w:p w:rsidR="00EE5EE3" w:rsidRDefault="00EE5EE3" w:rsidP="00EE5EE3">
      <w:pPr>
        <w:pStyle w:val="a3"/>
      </w:pPr>
    </w:p>
    <w:p w:rsidR="00EE5EE3" w:rsidRPr="008662AC" w:rsidRDefault="00EE5EE3">
      <w:pPr>
        <w:ind w:left="360"/>
      </w:pPr>
      <w:r w:rsidRPr="00EE5EE3">
        <w:drawing>
          <wp:inline distT="0" distB="0" distL="0" distR="0" wp14:anchorId="42D39D2F" wp14:editId="623F918E">
            <wp:extent cx="5940425" cy="99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E3" w:rsidRPr="00866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B5174"/>
    <w:multiLevelType w:val="hybridMultilevel"/>
    <w:tmpl w:val="4B1E0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AC"/>
    <w:rsid w:val="000934F1"/>
    <w:rsid w:val="008662AC"/>
    <w:rsid w:val="008752C8"/>
    <w:rsid w:val="00A12158"/>
    <w:rsid w:val="00A452F6"/>
    <w:rsid w:val="00A9675A"/>
    <w:rsid w:val="00BF4C66"/>
    <w:rsid w:val="00EE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58DF"/>
  <w15:chartTrackingRefBased/>
  <w15:docId w15:val="{CCB88343-CDB3-48E7-A5D8-071DA88A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158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nhideWhenUsed/>
    <w:qFormat/>
    <w:rsid w:val="00A9675A"/>
    <w:pPr>
      <w:keepNext/>
      <w:spacing w:after="0" w:line="240" w:lineRule="auto"/>
      <w:outlineLvl w:val="1"/>
    </w:pPr>
    <w:rPr>
      <w:rFonts w:cs="Times New Roman"/>
      <w:b/>
      <w:bCs/>
      <w:iCs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675A"/>
    <w:rPr>
      <w:rFonts w:ascii="Times New Roman" w:hAnsi="Times New Roman" w:cs="Times New Roman"/>
      <w:b/>
      <w:bCs/>
      <w:iCs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86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2025-02-23T18:57:00Z</dcterms:created>
  <dcterms:modified xsi:type="dcterms:W3CDTF">2025-02-23T18:57:00Z</dcterms:modified>
</cp:coreProperties>
</file>