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запросы</w:t>
        <w:br w:type="textWrapping"/>
        <w:br w:type="textWrapping"/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этого: выведи список логинов курьеров с количеством их заказов в статусе «В доставке» (поле inDelivery = true).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Решение:</w:t>
        <w:br w:type="textWrapping"/>
        <w:t xml:space="preserve">SELECT cr.login,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COUNT(ord."courierId") AS "Кол-во заказов в доставке"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FROM "Couriers" AS cr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INNER JOIN "Orders" AS ord ON cr.id = ord."courierId"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WHERE "inDelivery" = true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GROUP BY ord."courierId", cr.login;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Для этого: выведи все трекеры заказов и их статусы.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Если поле finished == true, то вывести статус 2.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Если поле canсelled == true, то вывести статус -1.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Если поле inDelivery == true, то вывести статус 1.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Для остальных случаев вывести 0.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track,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WHEN finished = true THEN 2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WHEN cancelled = true THEN -1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WHEN "inDelivery" = true THEN 1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ELSE 0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FROM "Orders";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