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9E1E1D" w:rsidRDefault="009E1E1D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Unrepeatable Read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 xml:space="preserve">và </w:t>
      </w:r>
      <w:r w:rsidR="009E1E1D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E81E1D">
        <w:rPr>
          <w:rFonts w:ascii="Times New Roman" w:hAnsi="Times New Roman"/>
          <w:sz w:val="24"/>
          <w:szCs w:val="24"/>
        </w:rPr>
        <w:t>c TestCase03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E81E1D">
        <w:rPr>
          <w:rFonts w:ascii="Times New Roman" w:hAnsi="Times New Roman"/>
          <w:sz w:val="24"/>
          <w:szCs w:val="24"/>
        </w:rPr>
        <w:t xml:space="preserve">“Đăng ký đồ án” </w:t>
      </w:r>
      <w:r w:rsidRPr="009E1E1D">
        <w:rPr>
          <w:rFonts w:ascii="Times New Roman" w:hAnsi="Times New Roman"/>
          <w:sz w:val="24"/>
          <w:szCs w:val="24"/>
        </w:rPr>
        <w:t>tham chiếu đến TestCase02_T1.sql.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C75571">
        <w:rPr>
          <w:rFonts w:ascii="Times New Roman" w:hAnsi="Times New Roman"/>
          <w:sz w:val="24"/>
          <w:szCs w:val="24"/>
        </w:rPr>
        <w:t>“Cập nhật thời gian nộp đồ án”</w:t>
      </w:r>
      <w:r w:rsidRPr="009E1E1D">
        <w:rPr>
          <w:rFonts w:ascii="Times New Roman" w:hAnsi="Times New Roman"/>
          <w:sz w:val="24"/>
          <w:szCs w:val="24"/>
        </w:rPr>
        <w:t xml:space="preserve"> tham chiếu đến TestCase02_T2.sql</w:t>
      </w:r>
    </w:p>
    <w:p w:rsidR="00AF71F8" w:rsidRDefault="00AF71F8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485EA6" w:rsidRDefault="00E24E99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có mã số ‘0812008’ muốn đăng ký đồ án</w:t>
      </w:r>
      <w:r w:rsidR="00AF71F8">
        <w:rPr>
          <w:rFonts w:ascii="Times New Roman" w:hAnsi="Times New Roman"/>
          <w:sz w:val="24"/>
          <w:szCs w:val="24"/>
        </w:rPr>
        <w:t xml:space="preserve"> có mã đồ án là 2,  mã để  là 1.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đọc thời gian nộp của đồ án và in ra màn hình bằng lệnh PRINT. Thời gian nộp lúc này là 30/05/2012.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kiểm tra thời gian nộp đồ án xem có hợp lệ không. Nếu hợp lệ thì thêm dữ liệu vào bảng DE_SINHVIEN.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Ngay lúc này giao tác T2 thay đổi thời gian của đồ án (mã số 2) thành 25/05/2012.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Giao tác T1 đọc lại thời gian nộp bằng lệnh SELECT. Thời gian nộp lúc này đã trở thành  25/05/2012.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Kết luận: </w:t>
      </w:r>
      <w:r w:rsidR="00AF71F8">
        <w:rPr>
          <w:rFonts w:ascii="Times New Roman" w:hAnsi="Times New Roman"/>
          <w:sz w:val="24"/>
          <w:szCs w:val="24"/>
        </w:rPr>
        <w:t>thời gian nộp do giao tác T1 đọc ở hai lần có dữ liệu khác nhau.</w:t>
      </w:r>
    </w:p>
    <w:p w:rsidR="00485EA6" w:rsidRPr="009E1E1D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AF71F8">
        <w:rPr>
          <w:rFonts w:ascii="Times New Roman" w:hAnsi="Times New Roman"/>
          <w:sz w:val="24"/>
          <w:szCs w:val="24"/>
        </w:rPr>
        <w:t>repeatable read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tác này. Giao tác </w:t>
      </w:r>
      <w:r w:rsidRPr="009E1E1D">
        <w:rPr>
          <w:rFonts w:ascii="Times New Roman" w:hAnsi="Times New Roman"/>
          <w:sz w:val="24"/>
          <w:szCs w:val="24"/>
        </w:rPr>
        <w:t xml:space="preserve">T2 sẽ chờ T1 trả khóa </w:t>
      </w:r>
      <w:r w:rsidR="00AF71F8">
        <w:rPr>
          <w:rFonts w:ascii="Times New Roman" w:hAnsi="Times New Roman"/>
          <w:sz w:val="24"/>
          <w:szCs w:val="24"/>
        </w:rPr>
        <w:t>sau đó mới thực hiện việc cập nhật thời gian nộp. Do vậy khi T1 xuất kết quả thời gian nộp ở hai lần sẽ ra giống nhau.</w:t>
      </w:r>
    </w:p>
    <w:p w:rsidR="00262FC7" w:rsidRPr="009E1E1D" w:rsidRDefault="00262FC7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123AA7"/>
    <w:rsid w:val="00262FC7"/>
    <w:rsid w:val="00314EE9"/>
    <w:rsid w:val="00485EA6"/>
    <w:rsid w:val="005628A5"/>
    <w:rsid w:val="0061576A"/>
    <w:rsid w:val="00693DF5"/>
    <w:rsid w:val="006953CB"/>
    <w:rsid w:val="009E1E1D"/>
    <w:rsid w:val="00AA4C5D"/>
    <w:rsid w:val="00AF71F8"/>
    <w:rsid w:val="00BE10C8"/>
    <w:rsid w:val="00C75571"/>
    <w:rsid w:val="00E24E99"/>
    <w:rsid w:val="00E8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13</cp:revision>
  <dcterms:created xsi:type="dcterms:W3CDTF">2012-05-03T16:47:00Z</dcterms:created>
  <dcterms:modified xsi:type="dcterms:W3CDTF">2012-05-04T09:32:00Z</dcterms:modified>
</cp:coreProperties>
</file>