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50" w:rsidRDefault="000C3794"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27000 — ISMS Tổng quát và từ vựng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27001 — ISMS Yêu cầu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27002 — Chuẩn mực thực hiện ISM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27003 — Hướng dẫn triển khai ISMS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27004 — Đo lường ISM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27005 — Quản lý rủi ro IS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27006 — Yêu cầu về tổ chức đánh giá và chứng nhận ISMS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27011 — Hướng dẫn ISM cho tổ chức viễn thông.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 27799 - ISM trong y tế sử dụng ISO/IEC 27002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27007 - Hướng dẫn đánh giá ISMS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27008 - Hướng dẫn cho chuyên gia đánh giá về ISMS controls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27013 - Hướng dẫn tích hợp triển khai ISO/IEC 20000-1 và ISO/IEC 27001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27014 - Khung quản lý IS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27015 - Hướng dẫn ISM cho tài chính và bảo hiểm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27031 - Hướng dẫn mức độ sẵn sàng ICT cho BCM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27032 - Hướng dẫn cybersecurity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27033 - IT network security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27034 - Hướng dẫn application security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27035 - Quản lý security incident.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27036 - Hướng dẫn bảo mật sử dụng trong outsourcing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r>
        <w:rPr>
          <w:rFonts w:ascii="Verdana" w:hAnsi="Verdana"/>
          <w:color w:val="CCCCCC"/>
          <w:sz w:val="18"/>
          <w:szCs w:val="18"/>
        </w:rPr>
        <w:br/>
      </w:r>
      <w:r>
        <w:rPr>
          <w:rFonts w:ascii="Verdana" w:hAnsi="Verdana"/>
          <w:color w:val="CCCCCC"/>
          <w:sz w:val="18"/>
          <w:szCs w:val="18"/>
          <w:shd w:val="clear" w:color="auto" w:fill="222222"/>
        </w:rPr>
        <w:t>* ISO/IEC 27037 - Hướng dẫn xác định, thu thập và/hoặc thu nhận và bảo quản các bằng chứng số.</w:t>
      </w:r>
      <w:r>
        <w:rPr>
          <w:rStyle w:val="apple-converted-space"/>
          <w:rFonts w:ascii="Verdana" w:hAnsi="Verdana"/>
          <w:color w:val="CCCCCC"/>
          <w:sz w:val="18"/>
          <w:szCs w:val="18"/>
          <w:shd w:val="clear" w:color="auto" w:fill="222222"/>
        </w:rPr>
        <w:t> </w:t>
      </w:r>
      <w:bookmarkStart w:id="0" w:name="_GoBack"/>
      <w:bookmarkEnd w:id="0"/>
    </w:p>
    <w:sectPr w:rsidR="0015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B2"/>
    <w:rsid w:val="000C3794"/>
    <w:rsid w:val="0012258C"/>
    <w:rsid w:val="00242806"/>
    <w:rsid w:val="00AC656F"/>
    <w:rsid w:val="00AF186C"/>
    <w:rsid w:val="00B018B2"/>
    <w:rsid w:val="00F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home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2014-08-22T02:15:00Z</dcterms:created>
  <dcterms:modified xsi:type="dcterms:W3CDTF">2014-08-22T02:15:00Z</dcterms:modified>
</cp:coreProperties>
</file>