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300"/>
        <w:jc w:val="center"/>
      </w:pPr>
      <w:r>
        <w:rPr>
          <w:rFonts w:ascii="Cambria" w:cs="Cambria" w:eastAsia="Cambria" w:hAnsi="Cambria"/>
          <w:b/>
          <w:bCs/>
          <w:sz w:val="34"/>
          <w:szCs w:val="34"/>
        </w:rPr>
        <w:t xml:space="preserve">UNIVERSIDAD TECNOLÓGICA DE PUEBLA</w:t>
      </w:r>
    </w:p>
    <w:p>
      <w:pPr>
        <w:spacing w:after="300"/>
        <w:jc w:val="center"/>
      </w:pPr>
      <w:r>
        <w:rPr>
          <w:rFonts w:ascii="Calibri" w:cs="Calibri" w:eastAsia="Calibri" w:hAnsi="Calibri"/>
          <w:i/>
          <w:iCs/>
          <w:sz w:val="24"/>
          <w:szCs w:val="24"/>
        </w:rPr>
        <w:t xml:space="preserve">Ingeniería en Desarrollo de Software Multiplataforma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14" w:val="clear"/>
            <w:tcMar>
              <w:top w:type="dxa" w:w="40"/>
              <w:left w:type="dxa" w:w="0"/>
              <w:bottom w:type="dxa" w:w="40"/>
              <w:right w:type="dxa" w:w="0"/>
            </w:tcMar>
          </w:tcP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843D" w:val="clear"/>
            <w:tcMar>
              <w:top w:type="dxa" w:w="220"/>
              <w:left w:type="dxa" w:w="0"/>
              <w:bottom w:type="dxa" w:w="220"/>
              <w:right w:type="dxa" w:w="0"/>
            </w:tcMar>
          </w:tcPr>
          <w:p>
            <w:pPr>
              <w:jc w:val="center"/>
            </w:pPr>
            <w:r>
              <w:rPr>
                <w:rFonts w:ascii="Calibri" w:cs="Calibri" w:eastAsia="Calibri" w:hAnsi="Calibri"/>
                <w:b/>
                <w:bCs/>
                <w:color w:val="FFFFFF"/>
                <w:sz w:val="24"/>
                <w:szCs w:val="24"/>
              </w:rPr>
              <w:t xml:space="preserve">M E D I C O R E   P R O F E S S I O N A L   S Y S T E M</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14" w:val="clear"/>
            <w:tcMar>
              <w:top w:type="dxa" w:w="40"/>
              <w:left w:type="dxa" w:w="0"/>
              <w:bottom w:type="dxa" w:w="40"/>
              <w:right w:type="dxa" w:w="0"/>
            </w:tcMar>
          </w:tcPr>
          <w:p/>
        </w:tc>
      </w:tr>
    </w:tbl>
    <w:p>
      <w:pPr>
        <w:spacing w:after="100" w:before="400"/>
        <w:jc w:val="center"/>
      </w:pPr>
      <w:r>
        <w:rPr>
          <w:rFonts w:ascii="Calibri" w:cs="Calibri" w:eastAsia="Calibri" w:hAnsi="Calibri"/>
          <w:b/>
          <w:bCs/>
          <w:sz w:val="26"/>
          <w:szCs w:val="26"/>
        </w:rPr>
        <w:t xml:space="preserve">Desarrollo Web Integral</w:t>
      </w:r>
    </w:p>
    <w:p>
      <w:pPr>
        <w:spacing w:after="60"/>
        <w:jc w:val="center"/>
      </w:pPr>
      <w:r>
        <w:rPr>
          <w:rFonts w:ascii="Cambria" w:cs="Cambria" w:eastAsia="Cambria" w:hAnsi="Cambria"/>
          <w:b/>
          <w:bCs/>
          <w:color w:val="00843D"/>
          <w:sz w:val="46"/>
          <w:szCs w:val="46"/>
        </w:rPr>
        <w:t xml:space="preserve">PRODUCTO 3</w:t>
      </w:r>
    </w:p>
    <w:p>
      <w:pPr>
        <w:spacing w:after="260"/>
        <w:jc w:val="center"/>
      </w:pPr>
      <w:r>
        <w:rPr>
          <w:rFonts w:ascii="Calibri" w:cs="Calibri" w:eastAsia="Calibri" w:hAnsi="Calibri"/>
          <w:b/>
          <w:bCs/>
          <w:color w:val="00843D"/>
          <w:sz w:val="26"/>
          <w:szCs w:val="26"/>
        </w:rPr>
        <w:t xml:space="preserve">Seguridad y Web Services de Terceros</w:t>
      </w:r>
    </w:p>
    <w:p>
      <w:pPr>
        <w:pBdr>
          <w:bottom w:val="single" w:color="00843D" w:sz="10" w:space="4"/>
        </w:pBdr>
        <w:spacing w:after="20"/>
      </w:pPr>
    </w:p>
    <w:p>
      <w:pPr>
        <w:pBdr>
          <w:bottom w:val="single" w:color="00843D" w:sz="6" w:space="4"/>
        </w:pBdr>
        <w:spacing w:after="340"/>
      </w:pPr>
    </w:p>
    <w:p>
      <w:pPr>
        <w:spacing w:after="140"/>
        <w:jc w:val="center"/>
      </w:pPr>
      <w:r>
        <w:rPr>
          <w:rFonts w:ascii="Calibri" w:cs="Calibri" w:eastAsia="Calibri" w:hAnsi="Calibri"/>
          <w:b/>
          <w:bCs/>
          <w:sz w:val="24"/>
          <w:szCs w:val="24"/>
        </w:rPr>
        <w:t xml:space="preserve">Integrantes del equipo</w:t>
      </w:r>
    </w:p>
    <w:p>
      <w:pPr>
        <w:spacing w:after="60"/>
        <w:jc w:val="center"/>
      </w:pPr>
      <w:r>
        <w:rPr>
          <w:rFonts w:ascii="Calibri" w:cs="Calibri" w:eastAsia="Calibri" w:hAnsi="Calibri"/>
          <w:sz w:val="22"/>
          <w:szCs w:val="22"/>
        </w:rPr>
        <w:t xml:space="preserve">Oscar Estrada Pacheco</w:t>
      </w:r>
    </w:p>
    <w:p>
      <w:pPr>
        <w:spacing w:after="60"/>
        <w:jc w:val="center"/>
      </w:pPr>
      <w:r>
        <w:rPr>
          <w:rFonts w:ascii="Calibri" w:cs="Calibri" w:eastAsia="Calibri" w:hAnsi="Calibri"/>
          <w:sz w:val="22"/>
          <w:szCs w:val="22"/>
        </w:rPr>
        <w:t xml:space="preserve">Josué Haru Santillán</w:t>
      </w:r>
    </w:p>
    <w:p>
      <w:pPr>
        <w:spacing w:after="60"/>
        <w:jc w:val="center"/>
      </w:pPr>
      <w:r>
        <w:rPr>
          <w:rFonts w:ascii="Calibri" w:cs="Calibri" w:eastAsia="Calibri" w:hAnsi="Calibri"/>
          <w:sz w:val="22"/>
          <w:szCs w:val="22"/>
        </w:rPr>
        <w:t xml:space="preserve">Desiré Marani Peralta Peralta</w:t>
      </w:r>
    </w:p>
    <w:p>
      <w:pPr>
        <w:spacing w:after="60"/>
        <w:jc w:val="center"/>
      </w:pPr>
      <w:r>
        <w:rPr>
          <w:rFonts w:ascii="Calibri" w:cs="Calibri" w:eastAsia="Calibri" w:hAnsi="Calibri"/>
          <w:sz w:val="22"/>
          <w:szCs w:val="22"/>
        </w:rPr>
        <w:t xml:space="preserve">Alejandro Pérez Alcántara</w:t>
      </w:r>
    </w:p>
    <w:p>
      <w:pPr>
        <w:spacing w:after="60" w:before="300"/>
        <w:jc w:val="center"/>
      </w:pPr>
      <w:r>
        <w:rPr>
          <w:rFonts w:ascii="Calibri" w:cs="Calibri" w:eastAsia="Calibri" w:hAnsi="Calibri"/>
          <w:sz w:val="22"/>
          <w:szCs w:val="22"/>
        </w:rPr>
        <w:t xml:space="preserve">Docente: M.T.I. Haydeé Gómez Díaz</w:t>
      </w:r>
    </w:p>
    <w:p>
      <w:pPr>
        <w:spacing w:after="60"/>
        <w:jc w:val="center"/>
      </w:pPr>
      <w:r>
        <w:rPr>
          <w:rFonts w:ascii="Calibri" w:cs="Calibri" w:eastAsia="Calibri" w:hAnsi="Calibri"/>
          <w:sz w:val="22"/>
          <w:szCs w:val="22"/>
        </w:rPr>
        <w:t xml:space="preserve">Cuatrimestre: Noveno   |   Grupo: 9° D</w:t>
      </w:r>
    </w:p>
    <w:p>
      <w:pPr>
        <w:spacing w:after="40"/>
        <w:jc w:val="center"/>
      </w:pPr>
      <w:r>
        <w:rPr>
          <w:rFonts w:ascii="Calibri" w:cs="Calibri" w:eastAsia="Calibri" w:hAnsi="Calibri"/>
          <w:b/>
          <w:bCs/>
          <w:color w:val="00843D"/>
          <w:sz w:val="22"/>
          <w:szCs w:val="22"/>
        </w:rPr>
        <w:t xml:space="preserve">Fecha de entrega: 14 de julio de 2026</w:t>
      </w:r>
    </w:p>
    <w:p>
      <w:r>
        <w:br w:type="page"/>
      </w:r>
    </w:p>
    <w:p>
      <w:pPr>
        <w:pStyle w:val="Heading1"/>
        <w:spacing w:after="200"/>
      </w:pPr>
      <w:r>
        <w:rPr>
          <w:rFonts w:ascii="Cambria" w:cs="Cambria" w:eastAsia="Cambria" w:hAnsi="Cambria"/>
          <w:color w:val="1F4E79"/>
          <w:sz w:val="36"/>
          <w:szCs w:val="36"/>
        </w:rPr>
        <w:t xml:space="preserve">Índice</w:t>
      </w:r>
    </w:p>
    <w:p>
      <w:pPr>
        <w:tabs>
          <w:tab w:val="right" w:pos="9026" w:leader="dot"/>
        </w:tabs>
        <w:spacing w:after="120"/>
        <w:ind w:left="0"/>
      </w:pPr>
      <w:r>
        <w:rPr>
          <w:rFonts w:ascii="Calibri" w:cs="Calibri" w:eastAsia="Calibri" w:hAnsi="Calibri"/>
          <w:b/>
          <w:bCs/>
          <w:color w:val="0B1F14"/>
          <w:sz w:val="22"/>
          <w:szCs w:val="22"/>
        </w:rPr>
        <w:t xml:space="preserve">1. Introducción</w:t>
      </w:r>
      <w:r>
        <w:rPr>
          <w:rFonts w:ascii="Calibri" w:cs="Calibri" w:eastAsia="Calibri" w:hAnsi="Calibri"/>
          <w:b/>
          <w:bCs/>
          <w:color w:val="0B1F14"/>
          <w:sz w:val="22"/>
          <w:szCs w:val="22"/>
        </w:rPr>
        <w:t xml:space="preserve">	3</w:t>
      </w:r>
    </w:p>
    <w:p>
      <w:pPr>
        <w:tabs>
          <w:tab w:val="right" w:pos="9026" w:leader="dot"/>
        </w:tabs>
        <w:spacing w:after="120"/>
        <w:ind w:left="0"/>
      </w:pPr>
      <w:r>
        <w:rPr>
          <w:rFonts w:ascii="Calibri" w:cs="Calibri" w:eastAsia="Calibri" w:hAnsi="Calibri"/>
          <w:b/>
          <w:bCs/>
          <w:color w:val="0B1F14"/>
          <w:sz w:val="22"/>
          <w:szCs w:val="22"/>
        </w:rPr>
        <w:t xml:space="preserve">2. Descripción del Caso</w:t>
      </w:r>
      <w:r>
        <w:rPr>
          <w:rFonts w:ascii="Calibri" w:cs="Calibri" w:eastAsia="Calibri" w:hAnsi="Calibri"/>
          <w:b/>
          <w:bCs/>
          <w:color w:val="0B1F14"/>
          <w:sz w:val="22"/>
          <w:szCs w:val="22"/>
        </w:rPr>
        <w:t xml:space="preserve">	3</w:t>
      </w:r>
    </w:p>
    <w:p>
      <w:pPr>
        <w:tabs>
          <w:tab w:val="right" w:pos="9026" w:leader="dot"/>
        </w:tabs>
        <w:spacing w:after="120"/>
        <w:ind w:left="0"/>
      </w:pPr>
      <w:r>
        <w:rPr>
          <w:rFonts w:ascii="Calibri" w:cs="Calibri" w:eastAsia="Calibri" w:hAnsi="Calibri"/>
          <w:b/>
          <w:bCs/>
          <w:color w:val="0B1F14"/>
          <w:sz w:val="22"/>
          <w:szCs w:val="22"/>
        </w:rPr>
        <w:t xml:space="preserve">3. Producto 1 y 2</w:t>
      </w:r>
      <w:r>
        <w:rPr>
          <w:rFonts w:ascii="Calibri" w:cs="Calibri" w:eastAsia="Calibri" w:hAnsi="Calibri"/>
          <w:b/>
          <w:bCs/>
          <w:color w:val="0B1F14"/>
          <w:sz w:val="22"/>
          <w:szCs w:val="22"/>
        </w:rPr>
        <w:t xml:space="preserve">	4</w:t>
      </w:r>
    </w:p>
    <w:p>
      <w:pPr>
        <w:tabs>
          <w:tab w:val="right" w:pos="9026" w:leader="dot"/>
        </w:tabs>
        <w:spacing w:after="80"/>
        <w:ind w:left="340"/>
      </w:pPr>
      <w:r>
        <w:rPr>
          <w:rFonts w:ascii="Calibri" w:cs="Calibri" w:eastAsia="Calibri" w:hAnsi="Calibri"/>
          <w:b w:val="false"/>
          <w:bCs w:val="false"/>
          <w:color w:val="595959"/>
          <w:sz w:val="21"/>
          <w:szCs w:val="21"/>
        </w:rPr>
        <w:t xml:space="preserve">3.1 Producto 1: Metodología ágil, arquitectura de software, patrones de diseño y framework</w:t>
      </w:r>
      <w:r>
        <w:rPr>
          <w:rFonts w:ascii="Calibri" w:cs="Calibri" w:eastAsia="Calibri" w:hAnsi="Calibri"/>
          <w:b w:val="false"/>
          <w:bCs w:val="false"/>
          <w:color w:val="595959"/>
          <w:sz w:val="21"/>
          <w:szCs w:val="21"/>
        </w:rPr>
        <w:t xml:space="preserve">	4</w:t>
      </w:r>
    </w:p>
    <w:p>
      <w:pPr>
        <w:tabs>
          <w:tab w:val="right" w:pos="9026" w:leader="dot"/>
        </w:tabs>
        <w:spacing w:after="80"/>
        <w:ind w:left="340"/>
      </w:pPr>
      <w:r>
        <w:rPr>
          <w:rFonts w:ascii="Calibri" w:cs="Calibri" w:eastAsia="Calibri" w:hAnsi="Calibri"/>
          <w:b w:val="false"/>
          <w:bCs w:val="false"/>
          <w:color w:val="595959"/>
          <w:sz w:val="21"/>
          <w:szCs w:val="21"/>
        </w:rPr>
        <w:t xml:space="preserve">3.2 Producto 2: Versionamiento con Git y GitHub</w:t>
      </w:r>
      <w:r>
        <w:rPr>
          <w:rFonts w:ascii="Calibri" w:cs="Calibri" w:eastAsia="Calibri" w:hAnsi="Calibri"/>
          <w:b w:val="false"/>
          <w:bCs w:val="false"/>
          <w:color w:val="595959"/>
          <w:sz w:val="21"/>
          <w:szCs w:val="21"/>
        </w:rPr>
        <w:t xml:space="preserve">	5</w:t>
      </w:r>
    </w:p>
    <w:p>
      <w:pPr>
        <w:tabs>
          <w:tab w:val="right" w:pos="9026" w:leader="dot"/>
        </w:tabs>
        <w:spacing w:after="120"/>
        <w:ind w:left="0"/>
      </w:pPr>
      <w:r>
        <w:rPr>
          <w:rFonts w:ascii="Calibri" w:cs="Calibri" w:eastAsia="Calibri" w:hAnsi="Calibri"/>
          <w:b/>
          <w:bCs/>
          <w:color w:val="0B1F14"/>
          <w:sz w:val="22"/>
          <w:szCs w:val="22"/>
        </w:rPr>
        <w:t xml:space="preserve">4. Mecanismos de Seguridad</w:t>
      </w:r>
      <w:r>
        <w:rPr>
          <w:rFonts w:ascii="Calibri" w:cs="Calibri" w:eastAsia="Calibri" w:hAnsi="Calibri"/>
          <w:b/>
          <w:bCs/>
          <w:color w:val="0B1F14"/>
          <w:sz w:val="22"/>
          <w:szCs w:val="22"/>
        </w:rPr>
        <w:t xml:space="preserve">	5</w:t>
      </w:r>
    </w:p>
    <w:p>
      <w:pPr>
        <w:tabs>
          <w:tab w:val="right" w:pos="9026" w:leader="dot"/>
        </w:tabs>
        <w:spacing w:after="80"/>
        <w:ind w:left="340"/>
      </w:pPr>
      <w:r>
        <w:rPr>
          <w:rFonts w:ascii="Calibri" w:cs="Calibri" w:eastAsia="Calibri" w:hAnsi="Calibri"/>
          <w:b w:val="false"/>
          <w:bCs w:val="false"/>
          <w:color w:val="595959"/>
          <w:sz w:val="21"/>
          <w:szCs w:val="21"/>
        </w:rPr>
        <w:t xml:space="preserve">4.1 Capa 1 – Encabezados de Seguridad HTTP (RASP)</w:t>
      </w:r>
      <w:r>
        <w:rPr>
          <w:rFonts w:ascii="Calibri" w:cs="Calibri" w:eastAsia="Calibri" w:hAnsi="Calibri"/>
          <w:b w:val="false"/>
          <w:bCs w:val="false"/>
          <w:color w:val="595959"/>
          <w:sz w:val="21"/>
          <w:szCs w:val="21"/>
        </w:rPr>
        <w:t xml:space="preserve">	6</w:t>
      </w:r>
    </w:p>
    <w:p>
      <w:pPr>
        <w:tabs>
          <w:tab w:val="right" w:pos="9026" w:leader="dot"/>
        </w:tabs>
        <w:spacing w:after="80"/>
        <w:ind w:left="340"/>
      </w:pPr>
      <w:r>
        <w:rPr>
          <w:rFonts w:ascii="Calibri" w:cs="Calibri" w:eastAsia="Calibri" w:hAnsi="Calibri"/>
          <w:b w:val="false"/>
          <w:bCs w:val="false"/>
          <w:color w:val="595959"/>
          <w:sz w:val="21"/>
          <w:szCs w:val="21"/>
        </w:rPr>
        <w:t xml:space="preserve">4.2 Capa 2 – Autenticación con JSON Web Tokens (JWT)</w:t>
      </w:r>
      <w:r>
        <w:rPr>
          <w:rFonts w:ascii="Calibri" w:cs="Calibri" w:eastAsia="Calibri" w:hAnsi="Calibri"/>
          <w:b w:val="false"/>
          <w:bCs w:val="false"/>
          <w:color w:val="595959"/>
          <w:sz w:val="21"/>
          <w:szCs w:val="21"/>
        </w:rPr>
        <w:t xml:space="preserve">	6</w:t>
      </w:r>
    </w:p>
    <w:p>
      <w:pPr>
        <w:tabs>
          <w:tab w:val="right" w:pos="9026" w:leader="dot"/>
        </w:tabs>
        <w:spacing w:after="80"/>
        <w:ind w:left="340"/>
      </w:pPr>
      <w:r>
        <w:rPr>
          <w:rFonts w:ascii="Calibri" w:cs="Calibri" w:eastAsia="Calibri" w:hAnsi="Calibri"/>
          <w:b w:val="false"/>
          <w:bCs w:val="false"/>
          <w:color w:val="595959"/>
          <w:sz w:val="21"/>
          <w:szCs w:val="21"/>
        </w:rPr>
        <w:t xml:space="preserve">4.3 Capa 3 – Autorización basada en roles (RBAC)</w:t>
      </w:r>
      <w:r>
        <w:rPr>
          <w:rFonts w:ascii="Calibri" w:cs="Calibri" w:eastAsia="Calibri" w:hAnsi="Calibri"/>
          <w:b w:val="false"/>
          <w:bCs w:val="false"/>
          <w:color w:val="595959"/>
          <w:sz w:val="21"/>
          <w:szCs w:val="21"/>
        </w:rPr>
        <w:t xml:space="preserve">	7</w:t>
      </w:r>
    </w:p>
    <w:p>
      <w:pPr>
        <w:tabs>
          <w:tab w:val="right" w:pos="9026" w:leader="dot"/>
        </w:tabs>
        <w:spacing w:after="120"/>
        <w:ind w:left="0"/>
      </w:pPr>
      <w:r>
        <w:rPr>
          <w:rFonts w:ascii="Calibri" w:cs="Calibri" w:eastAsia="Calibri" w:hAnsi="Calibri"/>
          <w:b/>
          <w:bCs/>
          <w:color w:val="0B1F14"/>
          <w:sz w:val="22"/>
          <w:szCs w:val="22"/>
        </w:rPr>
        <w:t xml:space="preserve">5. Web Services de Terceros</w:t>
      </w:r>
      <w:r>
        <w:rPr>
          <w:rFonts w:ascii="Calibri" w:cs="Calibri" w:eastAsia="Calibri" w:hAnsi="Calibri"/>
          <w:b/>
          <w:bCs/>
          <w:color w:val="0B1F14"/>
          <w:sz w:val="22"/>
          <w:szCs w:val="22"/>
        </w:rPr>
        <w:t xml:space="preserve">	7</w:t>
      </w:r>
    </w:p>
    <w:p>
      <w:pPr>
        <w:tabs>
          <w:tab w:val="right" w:pos="9026" w:leader="dot"/>
        </w:tabs>
        <w:spacing w:after="80"/>
        <w:ind w:left="340"/>
      </w:pPr>
      <w:r>
        <w:rPr>
          <w:rFonts w:ascii="Calibri" w:cs="Calibri" w:eastAsia="Calibri" w:hAnsi="Calibri"/>
          <w:b w:val="false"/>
          <w:bCs w:val="false"/>
          <w:color w:val="595959"/>
          <w:sz w:val="21"/>
          <w:szCs w:val="21"/>
        </w:rPr>
        <w:t xml:space="preserve">5.1 OpenWeatherMap – Recomendaciones por clima</w:t>
      </w:r>
      <w:r>
        <w:rPr>
          <w:rFonts w:ascii="Calibri" w:cs="Calibri" w:eastAsia="Calibri" w:hAnsi="Calibri"/>
          <w:b w:val="false"/>
          <w:bCs w:val="false"/>
          <w:color w:val="595959"/>
          <w:sz w:val="21"/>
          <w:szCs w:val="21"/>
        </w:rPr>
        <w:t xml:space="preserve">	8</w:t>
      </w:r>
    </w:p>
    <w:p>
      <w:pPr>
        <w:tabs>
          <w:tab w:val="right" w:pos="9026" w:leader="dot"/>
        </w:tabs>
        <w:spacing w:after="80"/>
        <w:ind w:left="340"/>
      </w:pPr>
      <w:r>
        <w:rPr>
          <w:rFonts w:ascii="Calibri" w:cs="Calibri" w:eastAsia="Calibri" w:hAnsi="Calibri"/>
          <w:b w:val="false"/>
          <w:bCs w:val="false"/>
          <w:color w:val="595959"/>
          <w:sz w:val="21"/>
          <w:szCs w:val="21"/>
        </w:rPr>
        <w:t xml:space="preserve">5.2 Google Maps – Ubicaciones y distancia Haversine</w:t>
      </w:r>
      <w:r>
        <w:rPr>
          <w:rFonts w:ascii="Calibri" w:cs="Calibri" w:eastAsia="Calibri" w:hAnsi="Calibri"/>
          <w:b w:val="false"/>
          <w:bCs w:val="false"/>
          <w:color w:val="595959"/>
          <w:sz w:val="21"/>
          <w:szCs w:val="21"/>
        </w:rPr>
        <w:t xml:space="preserve">	8</w:t>
      </w:r>
    </w:p>
    <w:p>
      <w:pPr>
        <w:tabs>
          <w:tab w:val="right" w:pos="9026" w:leader="dot"/>
        </w:tabs>
        <w:spacing w:after="80"/>
        <w:ind w:left="340"/>
      </w:pPr>
      <w:r>
        <w:rPr>
          <w:rFonts w:ascii="Calibri" w:cs="Calibri" w:eastAsia="Calibri" w:hAnsi="Calibri"/>
          <w:b w:val="false"/>
          <w:bCs w:val="false"/>
          <w:color w:val="595959"/>
          <w:sz w:val="21"/>
          <w:szCs w:val="21"/>
        </w:rPr>
        <w:t xml:space="preserve">5.3 Daily.co – Videollamadas médicas</w:t>
      </w:r>
      <w:r>
        <w:rPr>
          <w:rFonts w:ascii="Calibri" w:cs="Calibri" w:eastAsia="Calibri" w:hAnsi="Calibri"/>
          <w:b w:val="false"/>
          <w:bCs w:val="false"/>
          <w:color w:val="595959"/>
          <w:sz w:val="21"/>
          <w:szCs w:val="21"/>
        </w:rPr>
        <w:t xml:space="preserve">	8</w:t>
      </w:r>
    </w:p>
    <w:p>
      <w:pPr>
        <w:tabs>
          <w:tab w:val="right" w:pos="9026" w:leader="dot"/>
        </w:tabs>
        <w:spacing w:after="120"/>
        <w:ind w:left="0"/>
      </w:pPr>
      <w:r>
        <w:rPr>
          <w:rFonts w:ascii="Calibri" w:cs="Calibri" w:eastAsia="Calibri" w:hAnsi="Calibri"/>
          <w:b/>
          <w:bCs/>
          <w:color w:val="0B1F14"/>
          <w:sz w:val="22"/>
          <w:szCs w:val="22"/>
        </w:rPr>
        <w:t xml:space="preserve">6. Web Services Propios</w:t>
      </w:r>
      <w:r>
        <w:rPr>
          <w:rFonts w:ascii="Calibri" w:cs="Calibri" w:eastAsia="Calibri" w:hAnsi="Calibri"/>
          <w:b/>
          <w:bCs/>
          <w:color w:val="0B1F14"/>
          <w:sz w:val="22"/>
          <w:szCs w:val="22"/>
        </w:rPr>
        <w:t xml:space="preserve">	9</w:t>
      </w:r>
    </w:p>
    <w:p>
      <w:pPr>
        <w:tabs>
          <w:tab w:val="right" w:pos="9026" w:leader="dot"/>
        </w:tabs>
        <w:spacing w:after="80"/>
        <w:ind w:left="340"/>
      </w:pPr>
      <w:r>
        <w:rPr>
          <w:rFonts w:ascii="Calibri" w:cs="Calibri" w:eastAsia="Calibri" w:hAnsi="Calibri"/>
          <w:b w:val="false"/>
          <w:bCs w:val="false"/>
          <w:color w:val="595959"/>
          <w:sz w:val="21"/>
          <w:szCs w:val="21"/>
        </w:rPr>
        <w:t xml:space="preserve">6.1 Recurso: Recetas</w:t>
      </w:r>
      <w:r>
        <w:rPr>
          <w:rFonts w:ascii="Calibri" w:cs="Calibri" w:eastAsia="Calibri" w:hAnsi="Calibri"/>
          <w:b w:val="false"/>
          <w:bCs w:val="false"/>
          <w:color w:val="595959"/>
          <w:sz w:val="21"/>
          <w:szCs w:val="21"/>
        </w:rPr>
        <w:t xml:space="preserve">	9</w:t>
      </w:r>
    </w:p>
    <w:p>
      <w:pPr>
        <w:tabs>
          <w:tab w:val="right" w:pos="9026" w:leader="dot"/>
        </w:tabs>
        <w:spacing w:after="80"/>
        <w:ind w:left="340"/>
      </w:pPr>
      <w:r>
        <w:rPr>
          <w:rFonts w:ascii="Calibri" w:cs="Calibri" w:eastAsia="Calibri" w:hAnsi="Calibri"/>
          <w:b w:val="false"/>
          <w:bCs w:val="false"/>
          <w:color w:val="595959"/>
          <w:sz w:val="21"/>
          <w:szCs w:val="21"/>
        </w:rPr>
        <w:t xml:space="preserve">6.2 Recurso: Videollamadas</w:t>
      </w:r>
      <w:r>
        <w:rPr>
          <w:rFonts w:ascii="Calibri" w:cs="Calibri" w:eastAsia="Calibri" w:hAnsi="Calibri"/>
          <w:b w:val="false"/>
          <w:bCs w:val="false"/>
          <w:color w:val="595959"/>
          <w:sz w:val="21"/>
          <w:szCs w:val="21"/>
        </w:rPr>
        <w:t xml:space="preserve">	10</w:t>
      </w:r>
    </w:p>
    <w:p>
      <w:pPr>
        <w:tabs>
          <w:tab w:val="right" w:pos="9026" w:leader="dot"/>
        </w:tabs>
        <w:spacing w:after="80"/>
        <w:ind w:left="340"/>
      </w:pPr>
      <w:r>
        <w:rPr>
          <w:rFonts w:ascii="Calibri" w:cs="Calibri" w:eastAsia="Calibri" w:hAnsi="Calibri"/>
          <w:b w:val="false"/>
          <w:bCs w:val="false"/>
          <w:color w:val="595959"/>
          <w:sz w:val="21"/>
          <w:szCs w:val="21"/>
        </w:rPr>
        <w:t xml:space="preserve">6.3 Recursos adicionales</w:t>
      </w:r>
      <w:r>
        <w:rPr>
          <w:rFonts w:ascii="Calibri" w:cs="Calibri" w:eastAsia="Calibri" w:hAnsi="Calibri"/>
          <w:b w:val="false"/>
          <w:bCs w:val="false"/>
          <w:color w:val="595959"/>
          <w:sz w:val="21"/>
          <w:szCs w:val="21"/>
        </w:rPr>
        <w:t xml:space="preserve">	10</w:t>
      </w:r>
    </w:p>
    <w:p>
      <w:pPr>
        <w:tabs>
          <w:tab w:val="right" w:pos="9026" w:leader="dot"/>
        </w:tabs>
        <w:spacing w:after="120"/>
        <w:ind w:left="0"/>
      </w:pPr>
      <w:r>
        <w:rPr>
          <w:rFonts w:ascii="Calibri" w:cs="Calibri" w:eastAsia="Calibri" w:hAnsi="Calibri"/>
          <w:b/>
          <w:bCs/>
          <w:color w:val="0B1F14"/>
          <w:sz w:val="22"/>
          <w:szCs w:val="22"/>
        </w:rPr>
        <w:t xml:space="preserve">7. Ampliación del Equipo: Integraciones Adicionales, Certificaciones y Buenas Prácticas de Seguridad</w:t>
      </w:r>
      <w:r>
        <w:rPr>
          <w:rFonts w:ascii="Calibri" w:cs="Calibri" w:eastAsia="Calibri" w:hAnsi="Calibri"/>
          <w:b/>
          <w:bCs/>
          <w:color w:val="0B1F14"/>
          <w:sz w:val="22"/>
          <w:szCs w:val="22"/>
        </w:rPr>
        <w:t xml:space="preserve">	10</w:t>
      </w:r>
    </w:p>
    <w:p>
      <w:pPr>
        <w:tabs>
          <w:tab w:val="right" w:pos="9026" w:leader="dot"/>
        </w:tabs>
        <w:spacing w:after="80"/>
        <w:ind w:left="340"/>
      </w:pPr>
      <w:r>
        <w:rPr>
          <w:rFonts w:ascii="Calibri" w:cs="Calibri" w:eastAsia="Calibri" w:hAnsi="Calibri"/>
          <w:b w:val="false"/>
          <w:bCs w:val="false"/>
          <w:color w:val="595959"/>
          <w:sz w:val="21"/>
          <w:szCs w:val="21"/>
        </w:rPr>
        <w:t xml:space="preserve">7.1 Autenticación institucional con Google OAuth 2.0</w:t>
      </w:r>
      <w:r>
        <w:rPr>
          <w:rFonts w:ascii="Calibri" w:cs="Calibri" w:eastAsia="Calibri" w:hAnsi="Calibri"/>
          <w:b w:val="false"/>
          <w:bCs w:val="false"/>
          <w:color w:val="595959"/>
          <w:sz w:val="21"/>
          <w:szCs w:val="21"/>
        </w:rPr>
        <w:t xml:space="preserve">	10</w:t>
      </w:r>
    </w:p>
    <w:p>
      <w:pPr>
        <w:tabs>
          <w:tab w:val="right" w:pos="9026" w:leader="dot"/>
        </w:tabs>
        <w:spacing w:after="80"/>
        <w:ind w:left="340"/>
      </w:pPr>
      <w:r>
        <w:rPr>
          <w:rFonts w:ascii="Calibri" w:cs="Calibri" w:eastAsia="Calibri" w:hAnsi="Calibri"/>
          <w:b w:val="false"/>
          <w:bCs w:val="false"/>
          <w:color w:val="595959"/>
          <w:sz w:val="21"/>
          <w:szCs w:val="21"/>
        </w:rPr>
        <w:t xml:space="preserve">7.2 Sincronización de citas con Google Calendar API</w:t>
      </w:r>
      <w:r>
        <w:rPr>
          <w:rFonts w:ascii="Calibri" w:cs="Calibri" w:eastAsia="Calibri" w:hAnsi="Calibri"/>
          <w:b w:val="false"/>
          <w:bCs w:val="false"/>
          <w:color w:val="595959"/>
          <w:sz w:val="21"/>
          <w:szCs w:val="21"/>
        </w:rPr>
        <w:t xml:space="preserve">	11</w:t>
      </w:r>
    </w:p>
    <w:p>
      <w:pPr>
        <w:tabs>
          <w:tab w:val="right" w:pos="9026" w:leader="dot"/>
        </w:tabs>
        <w:spacing w:after="80"/>
        <w:ind w:left="340"/>
      </w:pPr>
      <w:r>
        <w:rPr>
          <w:rFonts w:ascii="Calibri" w:cs="Calibri" w:eastAsia="Calibri" w:hAnsi="Calibri"/>
          <w:b w:val="false"/>
          <w:bCs w:val="false"/>
          <w:color w:val="595959"/>
          <w:sz w:val="21"/>
          <w:szCs w:val="21"/>
        </w:rPr>
        <w:t xml:space="preserve">7.3 Notificaciones automáticas con SendGrid</w:t>
      </w:r>
      <w:r>
        <w:rPr>
          <w:rFonts w:ascii="Calibri" w:cs="Calibri" w:eastAsia="Calibri" w:hAnsi="Calibri"/>
          <w:b w:val="false"/>
          <w:bCs w:val="false"/>
          <w:color w:val="595959"/>
          <w:sz w:val="21"/>
          <w:szCs w:val="21"/>
        </w:rPr>
        <w:t xml:space="preserve">	11</w:t>
      </w:r>
    </w:p>
    <w:p>
      <w:pPr>
        <w:tabs>
          <w:tab w:val="right" w:pos="9026" w:leader="dot"/>
        </w:tabs>
        <w:spacing w:after="80"/>
        <w:ind w:left="340"/>
      </w:pPr>
      <w:r>
        <w:rPr>
          <w:rFonts w:ascii="Calibri" w:cs="Calibri" w:eastAsia="Calibri" w:hAnsi="Calibri"/>
          <w:b w:val="false"/>
          <w:bCs w:val="false"/>
          <w:color w:val="595959"/>
          <w:sz w:val="21"/>
          <w:szCs w:val="21"/>
        </w:rPr>
        <w:t xml:space="preserve">7.4 Verificación en dos pasos (OTP) con Twilio</w:t>
      </w:r>
      <w:r>
        <w:rPr>
          <w:rFonts w:ascii="Calibri" w:cs="Calibri" w:eastAsia="Calibri" w:hAnsi="Calibri"/>
          <w:b w:val="false"/>
          <w:bCs w:val="false"/>
          <w:color w:val="595959"/>
          <w:sz w:val="21"/>
          <w:szCs w:val="21"/>
        </w:rPr>
        <w:t xml:space="preserve">	12</w:t>
      </w:r>
    </w:p>
    <w:p>
      <w:pPr>
        <w:tabs>
          <w:tab w:val="right" w:pos="9026" w:leader="dot"/>
        </w:tabs>
        <w:spacing w:after="80"/>
        <w:ind w:left="340"/>
      </w:pPr>
      <w:r>
        <w:rPr>
          <w:rFonts w:ascii="Calibri" w:cs="Calibri" w:eastAsia="Calibri" w:hAnsi="Calibri"/>
          <w:b w:val="false"/>
          <w:bCs w:val="false"/>
          <w:color w:val="595959"/>
          <w:sz w:val="21"/>
          <w:szCs w:val="21"/>
        </w:rPr>
        <w:t xml:space="preserve">7.5 Recetas y consultas por videollamada (Jitsi Meet)</w:t>
      </w:r>
      <w:r>
        <w:rPr>
          <w:rFonts w:ascii="Calibri" w:cs="Calibri" w:eastAsia="Calibri" w:hAnsi="Calibri"/>
          <w:b w:val="false"/>
          <w:bCs w:val="false"/>
          <w:color w:val="595959"/>
          <w:sz w:val="21"/>
          <w:szCs w:val="21"/>
        </w:rPr>
        <w:t xml:space="preserve">	12</w:t>
      </w:r>
    </w:p>
    <w:p>
      <w:pPr>
        <w:tabs>
          <w:tab w:val="right" w:pos="9026" w:leader="dot"/>
        </w:tabs>
        <w:spacing w:after="80"/>
        <w:ind w:left="340"/>
      </w:pPr>
      <w:r>
        <w:rPr>
          <w:rFonts w:ascii="Calibri" w:cs="Calibri" w:eastAsia="Calibri" w:hAnsi="Calibri"/>
          <w:b w:val="false"/>
          <w:bCs w:val="false"/>
          <w:color w:val="595959"/>
          <w:sz w:val="21"/>
          <w:szCs w:val="21"/>
        </w:rPr>
        <w:t xml:space="preserve">7.6 Recomendaciones clínicas por clima (OpenWeatherMap) y catálogo de enfermedades</w:t>
      </w:r>
      <w:r>
        <w:rPr>
          <w:rFonts w:ascii="Calibri" w:cs="Calibri" w:eastAsia="Calibri" w:hAnsi="Calibri"/>
          <w:b w:val="false"/>
          <w:bCs w:val="false"/>
          <w:color w:val="595959"/>
          <w:sz w:val="21"/>
          <w:szCs w:val="21"/>
        </w:rPr>
        <w:t xml:space="preserve">	13</w:t>
      </w:r>
    </w:p>
    <w:p>
      <w:pPr>
        <w:tabs>
          <w:tab w:val="right" w:pos="9026" w:leader="dot"/>
        </w:tabs>
        <w:spacing w:after="80"/>
        <w:ind w:left="340"/>
      </w:pPr>
      <w:r>
        <w:rPr>
          <w:rFonts w:ascii="Calibri" w:cs="Calibri" w:eastAsia="Calibri" w:hAnsi="Calibri"/>
          <w:b w:val="false"/>
          <w:bCs w:val="false"/>
          <w:color w:val="595959"/>
          <w:sz w:val="21"/>
          <w:szCs w:val="21"/>
        </w:rPr>
        <w:t xml:space="preserve">7.7 Ubicación de clínicas con Google Maps Embed API</w:t>
      </w:r>
      <w:r>
        <w:rPr>
          <w:rFonts w:ascii="Calibri" w:cs="Calibri" w:eastAsia="Calibri" w:hAnsi="Calibri"/>
          <w:b w:val="false"/>
          <w:bCs w:val="false"/>
          <w:color w:val="595959"/>
          <w:sz w:val="21"/>
          <w:szCs w:val="21"/>
        </w:rPr>
        <w:t xml:space="preserve">	13</w:t>
      </w:r>
    </w:p>
    <w:p>
      <w:pPr>
        <w:tabs>
          <w:tab w:val="right" w:pos="9026" w:leader="dot"/>
        </w:tabs>
        <w:spacing w:after="80"/>
        <w:ind w:left="340"/>
      </w:pPr>
      <w:r>
        <w:rPr>
          <w:rFonts w:ascii="Calibri" w:cs="Calibri" w:eastAsia="Calibri" w:hAnsi="Calibri"/>
          <w:b w:val="false"/>
          <w:bCs w:val="false"/>
          <w:color w:val="595959"/>
          <w:sz w:val="21"/>
          <w:szCs w:val="21"/>
        </w:rPr>
        <w:t xml:space="preserve">7.8 Aviso de privacidad simplificado (Art. 22, LFPDPPP)</w:t>
      </w:r>
      <w:r>
        <w:rPr>
          <w:rFonts w:ascii="Calibri" w:cs="Calibri" w:eastAsia="Calibri" w:hAnsi="Calibri"/>
          <w:b w:val="false"/>
          <w:bCs w:val="false"/>
          <w:color w:val="595959"/>
          <w:sz w:val="21"/>
          <w:szCs w:val="21"/>
        </w:rPr>
        <w:t xml:space="preserve">	13</w:t>
      </w:r>
    </w:p>
    <w:p>
      <w:pPr>
        <w:tabs>
          <w:tab w:val="right" w:pos="9026" w:leader="dot"/>
        </w:tabs>
        <w:spacing w:after="80"/>
        <w:ind w:left="340"/>
      </w:pPr>
      <w:r>
        <w:rPr>
          <w:rFonts w:ascii="Calibri" w:cs="Calibri" w:eastAsia="Calibri" w:hAnsi="Calibri"/>
          <w:b w:val="false"/>
          <w:bCs w:val="false"/>
          <w:color w:val="595959"/>
          <w:sz w:val="21"/>
          <w:szCs w:val="21"/>
        </w:rPr>
        <w:t xml:space="preserve">7.9 Autoevaluación OWASP ASVS Nivel 1</w:t>
      </w:r>
      <w:r>
        <w:rPr>
          <w:rFonts w:ascii="Calibri" w:cs="Calibri" w:eastAsia="Calibri" w:hAnsi="Calibri"/>
          <w:b w:val="false"/>
          <w:bCs w:val="false"/>
          <w:color w:val="595959"/>
          <w:sz w:val="21"/>
          <w:szCs w:val="21"/>
        </w:rPr>
        <w:t xml:space="preserve">	14</w:t>
      </w:r>
    </w:p>
    <w:p>
      <w:pPr>
        <w:tabs>
          <w:tab w:val="right" w:pos="9026" w:leader="dot"/>
        </w:tabs>
        <w:spacing w:after="80"/>
        <w:ind w:left="340"/>
      </w:pPr>
      <w:r>
        <w:rPr>
          <w:rFonts w:ascii="Calibri" w:cs="Calibri" w:eastAsia="Calibri" w:hAnsi="Calibri"/>
          <w:b w:val="false"/>
          <w:bCs w:val="false"/>
          <w:color w:val="595959"/>
          <w:sz w:val="21"/>
          <w:szCs w:val="21"/>
        </w:rPr>
        <w:t xml:space="preserve">7.10 TLS/HTTPS local y evidencia de control de versiones en GitHub</w:t>
      </w:r>
      <w:r>
        <w:rPr>
          <w:rFonts w:ascii="Calibri" w:cs="Calibri" w:eastAsia="Calibri" w:hAnsi="Calibri"/>
          <w:b w:val="false"/>
          <w:bCs w:val="false"/>
          <w:color w:val="595959"/>
          <w:sz w:val="21"/>
          <w:szCs w:val="21"/>
        </w:rPr>
        <w:t xml:space="preserve">	14</w:t>
      </w:r>
    </w:p>
    <w:p>
      <w:pPr>
        <w:tabs>
          <w:tab w:val="right" w:pos="9026" w:leader="dot"/>
        </w:tabs>
        <w:spacing w:after="80"/>
        <w:ind w:left="340"/>
      </w:pPr>
      <w:r>
        <w:rPr>
          <w:rFonts w:ascii="Calibri" w:cs="Calibri" w:eastAsia="Calibri" w:hAnsi="Calibri"/>
          <w:b w:val="false"/>
          <w:bCs w:val="false"/>
          <w:color w:val="595959"/>
          <w:sz w:val="21"/>
          <w:szCs w:val="21"/>
        </w:rPr>
        <w:t xml:space="preserve">7.11 Cierre de la ampliación</w:t>
      </w:r>
      <w:r>
        <w:rPr>
          <w:rFonts w:ascii="Calibri" w:cs="Calibri" w:eastAsia="Calibri" w:hAnsi="Calibri"/>
          <w:b w:val="false"/>
          <w:bCs w:val="false"/>
          <w:color w:val="595959"/>
          <w:sz w:val="21"/>
          <w:szCs w:val="21"/>
        </w:rPr>
        <w:t xml:space="preserve">	15</w:t>
      </w:r>
    </w:p>
    <w:p>
      <w:pPr>
        <w:tabs>
          <w:tab w:val="right" w:pos="9026" w:leader="dot"/>
        </w:tabs>
        <w:spacing w:after="120"/>
        <w:ind w:left="0"/>
      </w:pPr>
      <w:r>
        <w:rPr>
          <w:rFonts w:ascii="Calibri" w:cs="Calibri" w:eastAsia="Calibri" w:hAnsi="Calibri"/>
          <w:b/>
          <w:bCs/>
          <w:color w:val="0B1F14"/>
          <w:sz w:val="22"/>
          <w:szCs w:val="22"/>
        </w:rPr>
        <w:t xml:space="preserve">8. Enlace al Repositorio</w:t>
      </w:r>
      <w:r>
        <w:rPr>
          <w:rFonts w:ascii="Calibri" w:cs="Calibri" w:eastAsia="Calibri" w:hAnsi="Calibri"/>
          <w:b/>
          <w:bCs/>
          <w:color w:val="0B1F14"/>
          <w:sz w:val="22"/>
          <w:szCs w:val="22"/>
        </w:rPr>
        <w:t xml:space="preserve">	15</w:t>
      </w:r>
    </w:p>
    <w:p>
      <w:pPr>
        <w:tabs>
          <w:tab w:val="right" w:pos="9026" w:leader="dot"/>
        </w:tabs>
        <w:spacing w:after="120"/>
        <w:ind w:left="0"/>
      </w:pPr>
      <w:r>
        <w:rPr>
          <w:rFonts w:ascii="Calibri" w:cs="Calibri" w:eastAsia="Calibri" w:hAnsi="Calibri"/>
          <w:b/>
          <w:bCs/>
          <w:color w:val="0B1F14"/>
          <w:sz w:val="22"/>
          <w:szCs w:val="22"/>
        </w:rPr>
        <w:t xml:space="preserve">9. Enlace al Video</w:t>
      </w:r>
      <w:r>
        <w:rPr>
          <w:rFonts w:ascii="Calibri" w:cs="Calibri" w:eastAsia="Calibri" w:hAnsi="Calibri"/>
          <w:b/>
          <w:bCs/>
          <w:color w:val="0B1F14"/>
          <w:sz w:val="22"/>
          <w:szCs w:val="22"/>
        </w:rPr>
        <w:t xml:space="preserve">	15</w:t>
      </w:r>
    </w:p>
    <w:p>
      <w:pPr>
        <w:tabs>
          <w:tab w:val="right" w:pos="9026" w:leader="dot"/>
        </w:tabs>
        <w:spacing w:after="120"/>
        <w:ind w:left="0"/>
      </w:pPr>
      <w:r>
        <w:rPr>
          <w:rFonts w:ascii="Calibri" w:cs="Calibri" w:eastAsia="Calibri" w:hAnsi="Calibri"/>
          <w:b/>
          <w:bCs/>
          <w:color w:val="0B1F14"/>
          <w:sz w:val="22"/>
          <w:szCs w:val="22"/>
        </w:rPr>
        <w:t xml:space="preserve">10. Conclusión</w:t>
      </w:r>
      <w:r>
        <w:rPr>
          <w:rFonts w:ascii="Calibri" w:cs="Calibri" w:eastAsia="Calibri" w:hAnsi="Calibri"/>
          <w:b/>
          <w:bCs/>
          <w:color w:val="0B1F14"/>
          <w:sz w:val="22"/>
          <w:szCs w:val="22"/>
        </w:rPr>
        <w:t xml:space="preserve">	15</w:t>
      </w:r>
    </w:p>
    <w:p>
      <w:pPr>
        <w:tabs>
          <w:tab w:val="right" w:pos="9026" w:leader="dot"/>
        </w:tabs>
        <w:spacing w:after="120"/>
        <w:ind w:left="0"/>
      </w:pPr>
      <w:r>
        <w:rPr>
          <w:rFonts w:ascii="Calibri" w:cs="Calibri" w:eastAsia="Calibri" w:hAnsi="Calibri"/>
          <w:b/>
          <w:bCs/>
          <w:color w:val="0B1F14"/>
          <w:sz w:val="22"/>
          <w:szCs w:val="22"/>
        </w:rPr>
        <w:t xml:space="preserve">11. Referencias</w:t>
      </w:r>
      <w:r>
        <w:rPr>
          <w:rFonts w:ascii="Calibri" w:cs="Calibri" w:eastAsia="Calibri" w:hAnsi="Calibri"/>
          <w:b/>
          <w:bCs/>
          <w:color w:val="0B1F14"/>
          <w:sz w:val="22"/>
          <w:szCs w:val="22"/>
        </w:rPr>
        <w:t xml:space="preserve">	16</w:t>
      </w:r>
    </w:p>
    <w:p>
      <w:r>
        <w:br w:type="page"/>
      </w:r>
    </w:p>
    <w:p>
      <w:pPr>
        <w:pStyle w:val="Heading1"/>
        <w:spacing w:after="200" w:before="320"/>
      </w:pPr>
      <w:r>
        <w:rPr>
          <w:rFonts w:ascii="Cambria" w:cs="Cambria" w:eastAsia="Cambria" w:hAnsi="Cambria"/>
          <w:color w:val="1F4E79"/>
          <w:sz w:val="32"/>
          <w:szCs w:val="32"/>
        </w:rPr>
        <w:t xml:space="preserve">1. Introducción</w:t>
      </w:r>
    </w:p>
    <w:p>
      <w:pPr>
        <w:spacing w:after="160" w:line="276"/>
        <w:jc w:val="both"/>
      </w:pPr>
      <w:r>
        <w:rPr>
          <w:rFonts w:ascii="Calibri" w:cs="Calibri" w:eastAsia="Calibri" w:hAnsi="Calibri"/>
          <w:sz w:val="22"/>
          <w:szCs w:val="22"/>
        </w:rPr>
        <w:t xml:space="preserve">El presente reporte corresponde al Producto 3 de la asignatura de Desarrollo Web Integral, cuyo propósito es documentar la implementación de mecanismos de seguridad y la integración de web services propios y de terceros dentro del proyecto MediCore, un sistema de servicios médicos que gestiona información sensible de pacientes, médicos y consultas.</w:t>
      </w:r>
    </w:p>
    <w:p>
      <w:pPr>
        <w:spacing w:after="160" w:line="276"/>
        <w:jc w:val="both"/>
      </w:pPr>
      <w:r>
        <w:rPr>
          <w:rFonts w:ascii="Calibri" w:cs="Calibri" w:eastAsia="Calibri" w:hAnsi="Calibri"/>
          <w:sz w:val="22"/>
          <w:szCs w:val="22"/>
        </w:rPr>
        <w:t xml:space="preserve">Durante el desarrollo de las actividades 3.1 y 3.2 se fortaleció la aplicación construida en los productos anteriores incorporando un esquema de seguridad de tres capas —encabezados HTTP de seguridad, autenticación mediante JSON Web Tokens (JWT) y autorización basada en roles (RBAC)—, así como la integración de tres servicios externos (OpenWeatherMap, Google Maps mediante cálculo Haversine y Daily.co para videollamadas) y catorce endpoints propios que exponen las nuevas funcionalidades del sistema. Como ampliación del equipo, en la sección 7 se documenta además la integración real de cuatro APIs adicionales (Google OAuth2, Google Calendar, SendGrid y Twilio), un aviso de privacidad conforme a la LFPDPPP y una autoevaluación OWASP ASVS, reforzando la cobertura de seguridad y certificaciones del proyecto.</w:t>
      </w:r>
    </w:p>
    <w:p>
      <w:pPr>
        <w:spacing w:after="160" w:line="276"/>
        <w:jc w:val="both"/>
      </w:pPr>
      <w:r>
        <w:rPr>
          <w:rFonts w:ascii="Calibri" w:cs="Calibri" w:eastAsia="Calibri" w:hAnsi="Calibri"/>
          <w:sz w:val="22"/>
          <w:szCs w:val="22"/>
        </w:rPr>
        <w:t xml:space="preserve">Este documento describe brevemente el caso de estudio y su alcance, retoma los productos 1 y 2 con las correcciones sugeridas por la docente, y presenta evidencia del código fuente y del funcionamiento de los mecanismos de seguridad, los web services de terceros y los web services propios implementados, cerrando con las conclusiones del equipo y las fuentes de información consultadas.</w:t>
      </w:r>
    </w:p>
    <w:p>
      <w:pPr>
        <w:pStyle w:val="Heading1"/>
        <w:spacing w:after="200" w:before="320"/>
      </w:pPr>
      <w:r>
        <w:rPr>
          <w:rFonts w:ascii="Cambria" w:cs="Cambria" w:eastAsia="Cambria" w:hAnsi="Cambria"/>
          <w:color w:val="1F4E79"/>
          <w:sz w:val="32"/>
          <w:szCs w:val="32"/>
        </w:rPr>
        <w:t xml:space="preserve">2. Descripción del Caso</w:t>
      </w:r>
    </w:p>
    <w:p>
      <w:pPr>
        <w:spacing w:after="160" w:line="276"/>
        <w:jc w:val="both"/>
      </w:pPr>
      <w:r>
        <w:rPr>
          <w:rFonts w:ascii="Calibri" w:cs="Calibri" w:eastAsia="Calibri" w:hAnsi="Calibri"/>
          <w:sz w:val="22"/>
          <w:szCs w:val="22"/>
        </w:rPr>
        <w:t xml:space="preserve">MediCore Professional System es una plataforma clínico-nutricional que administra expedientes médicos, pacientes, consultas y reportes clínicos, diferenciando dos perfiles funcionales: el Médico, con control clínico total (dashboard, expedientes, somatometría e IMC, autorización de dietas, agenda y reportes), y el Paciente, como visor pasivo de su propio estado de salud, dieta autorizada y citas programadas. Al manejar datos clínicos y personales sensibles, el sistema está sujeto a regulaciones de privacidad como HIPAA y, por extensión en el contexto local, principios equivalentes a los de la LFPDPPP y el GDPR.</w:t>
      </w:r>
    </w:p>
    <w:p>
      <w:pPr>
        <w:spacing w:after="160" w:line="276"/>
        <w:jc w:val="both"/>
      </w:pPr>
      <w:r>
        <w:rPr>
          <w:rFonts w:ascii="Calibri" w:cs="Calibri" w:eastAsia="Calibri" w:hAnsi="Calibri"/>
          <w:sz w:val="22"/>
          <w:szCs w:val="22"/>
        </w:rPr>
        <w:t xml:space="preserve">Sobre esta base construida en los productos 1 y 2 (arquitectura MVC + RBAC y control de versiones con Git/GitHub), el alcance de este Producto 3 comprende: (1) la implementación de un modelo de seguridad de tres capas para proteger la aplicación desde el perímetro HTTP hasta el nivel de autorización de datos, mediante JWT y RBAC; (2) la integración de tres APIs de terceros (clima, geolocalización y videollamada) que enriquecen la experiencia del paciente; (3) la construcción de 14 endpoints propios para la gestión de recetas, videollamadas, enfermedades, recomendaciones climáticas y ubicaciones de clínicas; (4) la extensión del esquema de base de datos con 5 tablas nuevas, 10 índices y reglas de integridad referencial; y (5) la ampliación documentada en la sección 7 con cuatro integraciones adicionales realizadas y verificadas de forma real por el equipo.</w:t>
      </w:r>
    </w:p>
    <w:p>
      <w:pPr>
        <w:spacing w:after="160" w:line="276"/>
        <w:jc w:val="both"/>
      </w:pPr>
      <w:r>
        <w:rPr>
          <w:rFonts w:ascii="Calibri" w:cs="Calibri" w:eastAsia="Calibri" w:hAnsi="Calibri"/>
          <w:sz w:val="22"/>
          <w:szCs w:val="22"/>
        </w:rPr>
        <w:t xml:space="preserve">No forma parte del alcance de este producto la implementación de firma digital de recetas ni el cifrado de datos en reposo; estos puntos se documentan como mejoras futuras recomendadas en la sección de conclusiones.</w:t>
      </w:r>
    </w:p>
    <w:p>
      <w:pPr>
        <w:pStyle w:val="Heading1"/>
        <w:spacing w:after="200" w:before="320"/>
      </w:pPr>
      <w:r>
        <w:rPr>
          <w:rFonts w:ascii="Cambria" w:cs="Cambria" w:eastAsia="Cambria" w:hAnsi="Cambria"/>
          <w:color w:val="1F4E79"/>
          <w:sz w:val="32"/>
          <w:szCs w:val="32"/>
        </w:rPr>
        <w:t xml:space="preserve">3. Producto 1 y 2</w:t>
      </w:r>
    </w:p>
    <w:p>
      <w:pPr>
        <w:spacing w:after="160" w:line="276"/>
        <w:jc w:val="both"/>
      </w:pPr>
      <w:r>
        <w:rPr>
          <w:rFonts w:ascii="Calibri" w:cs="Calibri" w:eastAsia="Calibri" w:hAnsi="Calibri"/>
          <w:sz w:val="22"/>
          <w:szCs w:val="22"/>
        </w:rPr>
        <w:t xml:space="preserve">A continuación se retoma de forma resumida el contenido de los productos 1 y 2 entregados previamente para el proyecto MediCore Professional System, los cuales sientan las bases metodológicas, arquitectónicas y de control de versiones sobre las que se construyó el presente Producto 3.</w:t>
      </w:r>
    </w:p>
    <w:p>
      <w:pPr>
        <w:pStyle w:val="Heading2"/>
        <w:spacing w:after="160" w:before="260"/>
      </w:pPr>
      <w:r>
        <w:rPr>
          <w:rFonts w:ascii="Cambria" w:cs="Cambria" w:eastAsia="Cambria" w:hAnsi="Cambria"/>
          <w:color w:val="2E74B5"/>
          <w:sz w:val="26"/>
          <w:szCs w:val="26"/>
        </w:rPr>
        <w:t xml:space="preserve">3.1 Producto 1: Metodología ágil, arquitectura de software, patrones de diseño y framework</w:t>
      </w:r>
    </w:p>
    <w:p>
      <w:pPr>
        <w:spacing w:after="160" w:line="276"/>
        <w:jc w:val="both"/>
      </w:pPr>
      <w:r>
        <w:rPr>
          <w:rFonts w:ascii="Calibri" w:cs="Calibri" w:eastAsia="Calibri" w:hAnsi="Calibri"/>
          <w:sz w:val="22"/>
          <w:szCs w:val="22"/>
        </w:rPr>
        <w:t xml:space="preserve">Se justificó el uso de la metodología ágil Scrum para el desarrollo de MediCore por su capacidad de adaptarse a cambios frecuentes en fórmulas nutricionales y regulaciones de expedientes, permitir entregas funcionales tempranas a los médicos y mitigar riesgos de seguridad mediante pruebas continuas en cada Sprint, dada la naturaleza sensible de los datos de salud manejados (HIPAA/NOM).</w:t>
      </w:r>
    </w:p>
    <w:p>
      <w:pPr>
        <w:spacing w:after="160" w:line="276"/>
        <w:jc w:val="both"/>
      </w:pPr>
      <w:r>
        <w:rPr>
          <w:rFonts w:ascii="Calibri" w:cs="Calibri" w:eastAsia="Calibri" w:hAnsi="Calibri"/>
          <w:sz w:val="22"/>
          <w:szCs w:val="22"/>
        </w:rPr>
        <w:t xml:space="preserve">El plan de trabajo se organizó en cuatro Sprints: el Sprint 1 cubrió el diseño de la base de datos relacional, la arquitectura base y el módulo de autenticación (Login/RBAC) con conexión Singleton; el Sprint 2 desarrolló el módulo médico (CRUD de pacientes, expediente clínico y patrón Proxy); el Sprint 3 implementó el motor lógico de cálculos clínicos (IMC, somatometría) mediante el patrón Strategy; y el Sprint 4 construyó el módulo del paciente con tableros de visualización y reportes en PDF.</w:t>
      </w:r>
    </w:p>
    <w:p>
      <w:pPr>
        <w:spacing w:after="160" w:line="276"/>
        <w:jc w:val="both"/>
      </w:pPr>
      <w:r>
        <w:rPr>
          <w:rFonts w:ascii="Calibri" w:cs="Calibri" w:eastAsia="Calibri" w:hAnsi="Calibri"/>
          <w:sz w:val="22"/>
          <w:szCs w:val="22"/>
        </w:rPr>
        <w:t xml:space="preserve">Como arquitectura de software se seleccionó el patrón Modelo-Vista-Controlador (MVC) combinado con Control de Acceso Basado en Roles (RBAC), justificado por la necesidad de separar responsabilidades por seguridad: el Modelo aísla el acceso a datos en MySQL, la Vista gestiona la interfaz (HTML5, CSS3, JavaScript, Chart.js) y el Controlador orquesta la lógica de negocio y valida los tokens de sesión, evitando que los cálculos clínicos contaminen el código de presentación.</w:t>
      </w:r>
    </w:p>
    <w:p>
      <w:pPr>
        <w:spacing w:after="160" w:line="276"/>
        <w:jc w:val="both"/>
      </w:pPr>
      <w:r>
        <w:rPr>
          <w:rFonts w:ascii="Calibri" w:cs="Calibri" w:eastAsia="Calibri" w:hAnsi="Calibri"/>
          <w:sz w:val="22"/>
          <w:szCs w:val="22"/>
        </w:rPr>
        <w:t xml:space="preserve">De los ocho patrones de diseño documentados y clasificados (Singleton, Factory Method y Builder como creacionales; Proxy, Facade y Adapter como estructurales; Strategy y Observer como de comportamiento), se implementaron tres en el sistema: Singleton para centralizar la conexión MySQLi a MediCore_db y evitar múltiples instancias concurrentes; Proxy para interceptar las peticiones al expediente clínico y verificar que el solicitante tenga rol de Médico antes de autorizar el acceso; y Strategy para intercambiar en tiempo de ejecución las fórmulas de cálculo del gasto energético (Harris-Benedict, OMS, Mifflin) sin anidar múltiples condicionales.</w:t>
      </w:r>
    </w:p>
    <w:p>
      <w:pPr>
        <w:spacing w:after="160" w:line="276"/>
        <w:jc w:val="both"/>
      </w:pPr>
      <w:r>
        <w:rPr>
          <w:rFonts w:ascii="Calibri" w:cs="Calibri" w:eastAsia="Calibri" w:hAnsi="Calibri"/>
          <w:sz w:val="22"/>
          <w:szCs w:val="22"/>
        </w:rPr>
        <w:t xml:space="preserve">El framework se implementó como una arquitectura MVC personalizada desarrollada en PHP puro (sin framework de terceros), con RBAC propio para el control de acceso y la gestión de sesiones. Las tecnologías base fueron PHP, MySQL, HTML5, CSS3 y JavaScript, con las librerías Chart.js para analítica visual y HTML2PDF/mPDF para la generación de reportes clínicos en PDF, sobre un entorno local configurado con VS Code, XAMPP (Apache + MySQL), Composer y Git/GitHub.</w:t>
      </w:r>
    </w:p>
    <w:p>
      <w:pPr>
        <w:pStyle w:val="Heading2"/>
        <w:spacing w:after="160" w:before="260"/>
      </w:pPr>
      <w:r>
        <w:rPr>
          <w:rFonts w:ascii="Cambria" w:cs="Cambria" w:eastAsia="Cambria" w:hAnsi="Cambria"/>
          <w:color w:val="2E74B5"/>
          <w:sz w:val="26"/>
          <w:szCs w:val="26"/>
        </w:rPr>
        <w:t xml:space="preserve">3.2 Producto 2: Versionamiento con Git y GitHub</w:t>
      </w:r>
    </w:p>
    <w:p>
      <w:pPr>
        <w:spacing w:after="160" w:line="276"/>
        <w:jc w:val="both"/>
      </w:pPr>
      <w:r>
        <w:rPr>
          <w:rFonts w:ascii="Calibri" w:cs="Calibri" w:eastAsia="Calibri" w:hAnsi="Calibri"/>
          <w:sz w:val="22"/>
          <w:szCs w:val="22"/>
        </w:rPr>
        <w:t xml:space="preserve">Para el control de versiones del proyecto se seleccionó la combinación Git + GitHub sobre la alternativa evaluada, Bitbucket. La decisión se fundamentó en tres criterios: GitHub ofrece colaboradores ilimitados en su plan gratuito frente al límite de 5 usuarios por espacio de trabajo de Bitbucket; cuenta con un ecosistema más amplio de integraciones y automatizaciones vía GitHub Actions; y, al ser el estándar de la industria, los integrantes del equipo ya contaban con experiencia previa en la plataforma, reduciendo los tiempos de adaptación.</w:t>
      </w:r>
    </w:p>
    <w:p>
      <w:pPr>
        <w:spacing w:after="160" w:line="276"/>
        <w:jc w:val="both"/>
      </w:pPr>
      <w:r>
        <w:rPr>
          <w:rFonts w:ascii="Calibri" w:cs="Calibri" w:eastAsia="Calibri" w:hAnsi="Calibri"/>
          <w:sz w:val="22"/>
          <w:szCs w:val="22"/>
        </w:rPr>
        <w:t xml:space="preserve">El flujo de trabajo implementado combinó GitHub Flow y Git Flow, con una rama main como versión estable y desplegable, una rama develop para la integración de características, y ramas feature individuales por integrante (feature/agendamiento-citas, feature/modulo-expedientes, feature/sistema-reportes y feature/validacion-seguridad), además de ramas de soporte hotfix y release para mantenimiento urgente y pre-producción respectivamente.</w:t>
      </w:r>
    </w:p>
    <w:p>
      <w:pPr>
        <w:spacing w:after="160" w:line="276"/>
        <w:jc w:val="both"/>
      </w:pPr>
      <w:r>
        <w:rPr>
          <w:rFonts w:ascii="Calibri" w:cs="Calibri" w:eastAsia="Calibri" w:hAnsi="Calibri"/>
          <w:sz w:val="22"/>
          <w:szCs w:val="22"/>
        </w:rPr>
        <w:t xml:space="preserve">El proceso siguió ocho pasos: creación del repositorio principal, invitación de colaboradores, clonación del repositorio por cada integrante, creación de ramas individuales, desarrollo de funcionalidades, commit de cambios, push al repositorio remoto e integración final mediante pull requests y code review antes del merge a main. Se documentó evidencia de la instalación de Git (versión 2.54.0), la inicialización del repositorio local (git init), el primer commit del proyecto, la sincronización exitosa con GitHub (git push -u origin main), la incorporación de los colaboradores y la clonación del repositorio por cada uno de los integrantes del equipo. Adicionalmente, se configuró un archivo .gitignore para excluir dependencias, logs, variables de entorno y archivos temporales del control de versiones.</w:t>
      </w:r>
    </w:p>
    <w:p>
      <w:pPr>
        <w:spacing w:after="160" w:line="276"/>
        <w:jc w:val="both"/>
      </w:pPr>
      <w:r>
        <w:rPr>
          <w:rFonts w:ascii="Calibri" w:cs="Calibri" w:eastAsia="Calibri" w:hAnsi="Calibri"/>
          <w:sz w:val="22"/>
          <w:szCs w:val="22"/>
        </w:rPr>
        <w:t xml:space="preserve">El repositorio oficial del proyecto se denomina MediCore y aloja el código fuente completo del sistema MediCore Professional System, permitiendo la colaboración de todos los integrantes del equipo a lo largo del desarrollo. Como corrección aplicada tras la retroalimentación docente, se reforzó adicionalmente la disciplina de commits descriptivos y la sincronización constante entre integrantes durante la fase de integración de este Producto 3 (ver evidencia de push en la sección 7).</w:t>
      </w:r>
    </w:p>
    <w:p>
      <w:pPr>
        <w:pStyle w:val="Heading1"/>
        <w:spacing w:after="200" w:before="320"/>
      </w:pPr>
      <w:r>
        <w:rPr>
          <w:rFonts w:ascii="Cambria" w:cs="Cambria" w:eastAsia="Cambria" w:hAnsi="Cambria"/>
          <w:color w:val="1F4E79"/>
          <w:sz w:val="32"/>
          <w:szCs w:val="32"/>
        </w:rPr>
        <w:t xml:space="preserve">4. Mecanismos de Seguridad</w:t>
      </w:r>
    </w:p>
    <w:p>
      <w:pPr>
        <w:spacing w:after="160" w:line="276"/>
        <w:jc w:val="both"/>
      </w:pPr>
      <w:r>
        <w:rPr>
          <w:rFonts w:ascii="Calibri" w:cs="Calibri" w:eastAsia="Calibri" w:hAnsi="Calibri"/>
          <w:sz w:val="22"/>
          <w:szCs w:val="22"/>
        </w:rPr>
        <w:t xml:space="preserve">La seguridad de MediCore se implementó en tres capas complementarias, diseñadas para proteger la aplicación desde el perímetro de red hasta el control de acceso a los datos.</w:t>
      </w:r>
    </w:p>
    <w:p>
      <w:pPr>
        <w:spacing w:after="120"/>
        <w:jc w:val="center"/>
      </w:pPr>
      <w:r>
        <w:rPr>
          <w:rFonts w:ascii="Calibri" w:cs="Calibri" w:eastAsia="Calibri" w:hAnsi="Calibri"/>
          <w:b/>
          <w:bCs/>
          <w:sz w:val="21"/>
          <w:szCs w:val="21"/>
        </w:rPr>
        <w:t xml:space="preserve">Arquitectura de Seguridad de MediCore – Modelo de 3 Capas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00843D" w:val="clear"/>
            <w:tcMar>
              <w:top w:type="dxa" w:w="140"/>
              <w:left w:type="dxa" w:w="220"/>
              <w:bottom w:type="dxa" w:w="140"/>
              <w:right w:type="dxa" w:w="220"/>
            </w:tcMar>
          </w:tcPr>
          <w:p>
            <w:pPr>
              <w:spacing w:after="80"/>
            </w:pPr>
            <w:r>
              <w:rPr>
                <w:rFonts w:ascii="Calibri" w:cs="Calibri" w:eastAsia="Calibri" w:hAnsi="Calibri"/>
                <w:b/>
                <w:bCs/>
                <w:color w:val="FFFFFF"/>
                <w:sz w:val="21"/>
                <w:szCs w:val="21"/>
              </w:rPr>
              <w:t xml:space="preserve">CAPA 1 · HTTP Security Headers (RASP)</w:t>
            </w:r>
          </w:p>
          <w:p>
            <w:pPr>
              <w:pStyle w:val="ListParagraph"/>
              <w:numPr>
                <w:ilvl w:val="0"/>
                <w:numId w:val="2"/>
              </w:numPr>
              <w:spacing w:after="40"/>
            </w:pPr>
            <w:r>
              <w:rPr>
                <w:rFonts w:ascii="Calibri" w:cs="Calibri" w:eastAsia="Calibri" w:hAnsi="Calibri"/>
                <w:color w:val="FFFFFF"/>
                <w:sz w:val="19"/>
                <w:szCs w:val="19"/>
              </w:rPr>
              <w:t xml:space="preserve">X-Frame-Options: SAMEORIGIN</w:t>
            </w:r>
          </w:p>
          <w:p>
            <w:pPr>
              <w:pStyle w:val="ListParagraph"/>
              <w:numPr>
                <w:ilvl w:val="0"/>
                <w:numId w:val="2"/>
              </w:numPr>
              <w:spacing w:after="40"/>
            </w:pPr>
            <w:r>
              <w:rPr>
                <w:rFonts w:ascii="Calibri" w:cs="Calibri" w:eastAsia="Calibri" w:hAnsi="Calibri"/>
                <w:color w:val="FFFFFF"/>
                <w:sz w:val="19"/>
                <w:szCs w:val="19"/>
              </w:rPr>
              <w:t xml:space="preserve">X-Content-Type-Options: nosniff</w:t>
            </w:r>
          </w:p>
          <w:p>
            <w:pPr>
              <w:pStyle w:val="ListParagraph"/>
              <w:numPr>
                <w:ilvl w:val="0"/>
                <w:numId w:val="2"/>
              </w:numPr>
              <w:spacing w:after="40"/>
            </w:pPr>
            <w:r>
              <w:rPr>
                <w:rFonts w:ascii="Calibri" w:cs="Calibri" w:eastAsia="Calibri" w:hAnsi="Calibri"/>
                <w:color w:val="FFFFFF"/>
                <w:sz w:val="19"/>
                <w:szCs w:val="19"/>
              </w:rPr>
              <w:t xml:space="preserve">Content-Security-Policy</w:t>
            </w:r>
          </w:p>
          <w:p>
            <w:pPr>
              <w:pStyle w:val="ListParagraph"/>
              <w:numPr>
                <w:ilvl w:val="0"/>
                <w:numId w:val="2"/>
              </w:numPr>
              <w:spacing w:after="40"/>
            </w:pPr>
            <w:r>
              <w:rPr>
                <w:rFonts w:ascii="Calibri" w:cs="Calibri" w:eastAsia="Calibri" w:hAnsi="Calibri"/>
                <w:color w:val="FFFFFF"/>
                <w:sz w:val="19"/>
                <w:szCs w:val="19"/>
              </w:rPr>
              <w:t xml:space="preserve">X-XSS-Protection: 1; mode=block</w:t>
            </w:r>
          </w:p>
        </w:tc>
      </w:tr>
    </w:tbl>
    <w:p>
      <w:pPr>
        <w:spacing w:after="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045C2B" w:val="clear"/>
            <w:tcMar>
              <w:top w:type="dxa" w:w="140"/>
              <w:left w:type="dxa" w:w="220"/>
              <w:bottom w:type="dxa" w:w="140"/>
              <w:right w:type="dxa" w:w="220"/>
            </w:tcMar>
          </w:tcPr>
          <w:p>
            <w:pPr>
              <w:spacing w:after="80"/>
            </w:pPr>
            <w:r>
              <w:rPr>
                <w:rFonts w:ascii="Calibri" w:cs="Calibri" w:eastAsia="Calibri" w:hAnsi="Calibri"/>
                <w:b/>
                <w:bCs/>
                <w:color w:val="FFFFFF"/>
                <w:sz w:val="21"/>
                <w:szCs w:val="21"/>
              </w:rPr>
              <w:t xml:space="preserve">CAPA 2 · Autenticación (JWT / HMAC-SHA256)</w:t>
            </w:r>
          </w:p>
          <w:p>
            <w:pPr>
              <w:pStyle w:val="ListParagraph"/>
              <w:numPr>
                <w:ilvl w:val="0"/>
                <w:numId w:val="2"/>
              </w:numPr>
              <w:spacing w:after="40"/>
            </w:pPr>
            <w:r>
              <w:rPr>
                <w:rFonts w:ascii="Calibri" w:cs="Calibri" w:eastAsia="Calibri" w:hAnsi="Calibri"/>
                <w:color w:val="FFFFFF"/>
                <w:sz w:val="19"/>
                <w:szCs w:val="19"/>
              </w:rPr>
              <w:t xml:space="preserve">Payload: id, correo, nombre, rol</w:t>
            </w:r>
          </w:p>
          <w:p>
            <w:pPr>
              <w:pStyle w:val="ListParagraph"/>
              <w:numPr>
                <w:ilvl w:val="0"/>
                <w:numId w:val="2"/>
              </w:numPr>
              <w:spacing w:after="40"/>
            </w:pPr>
            <w:r>
              <w:rPr>
                <w:rFonts w:ascii="Calibri" w:cs="Calibri" w:eastAsia="Calibri" w:hAnsi="Calibri"/>
                <w:color w:val="FFFFFF"/>
                <w:sz w:val="19"/>
                <w:szCs w:val="19"/>
              </w:rPr>
              <w:t xml:space="preserve">Expiración: 1 hora</w:t>
            </w:r>
          </w:p>
          <w:p>
            <w:pPr>
              <w:pStyle w:val="ListParagraph"/>
              <w:numPr>
                <w:ilvl w:val="0"/>
                <w:numId w:val="2"/>
              </w:numPr>
              <w:spacing w:after="40"/>
            </w:pPr>
            <w:r>
              <w:rPr>
                <w:rFonts w:ascii="Calibri" w:cs="Calibri" w:eastAsia="Calibri" w:hAnsi="Calibri"/>
                <w:color w:val="FFFFFF"/>
                <w:sz w:val="19"/>
                <w:szCs w:val="19"/>
              </w:rPr>
              <w:t xml:space="preserve">Validación con hash_equals()</w:t>
            </w:r>
          </w:p>
          <w:p>
            <w:pPr>
              <w:pStyle w:val="ListParagraph"/>
              <w:numPr>
                <w:ilvl w:val="0"/>
                <w:numId w:val="2"/>
              </w:numPr>
              <w:spacing w:after="40"/>
            </w:pPr>
            <w:r>
              <w:rPr>
                <w:rFonts w:ascii="Calibri" w:cs="Calibri" w:eastAsia="Calibri" w:hAnsi="Calibri"/>
                <w:color w:val="FFFFFF"/>
                <w:sz w:val="19"/>
                <w:szCs w:val="19"/>
              </w:rPr>
              <w:t xml:space="preserve">Protección contra ataques de temporización</w:t>
            </w:r>
          </w:p>
        </w:tc>
      </w:tr>
    </w:tbl>
    <w:p>
      <w:pPr>
        <w:spacing w:after="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0B1F14" w:val="clear"/>
            <w:tcMar>
              <w:top w:type="dxa" w:w="140"/>
              <w:left w:type="dxa" w:w="220"/>
              <w:bottom w:type="dxa" w:w="140"/>
              <w:right w:type="dxa" w:w="220"/>
            </w:tcMar>
          </w:tcPr>
          <w:p>
            <w:pPr>
              <w:spacing w:after="80"/>
            </w:pPr>
            <w:r>
              <w:rPr>
                <w:rFonts w:ascii="Calibri" w:cs="Calibri" w:eastAsia="Calibri" w:hAnsi="Calibri"/>
                <w:b/>
                <w:bCs/>
                <w:color w:val="FFFFFF"/>
                <w:sz w:val="21"/>
                <w:szCs w:val="21"/>
              </w:rPr>
              <w:t xml:space="preserve">CAPA 3 · Autorización (RBAC)</w:t>
            </w:r>
          </w:p>
          <w:p>
            <w:pPr>
              <w:pStyle w:val="ListParagraph"/>
              <w:numPr>
                <w:ilvl w:val="0"/>
                <w:numId w:val="2"/>
              </w:numPr>
              <w:spacing w:after="40"/>
            </w:pPr>
            <w:r>
              <w:rPr>
                <w:rFonts w:ascii="Calibri" w:cs="Calibri" w:eastAsia="Calibri" w:hAnsi="Calibri"/>
                <w:color w:val="FFFFFF"/>
                <w:sz w:val="19"/>
                <w:szCs w:val="19"/>
              </w:rPr>
              <w:t xml:space="preserve">Admin (nivel 3): CRUD total</w:t>
            </w:r>
          </w:p>
          <w:p>
            <w:pPr>
              <w:pStyle w:val="ListParagraph"/>
              <w:numPr>
                <w:ilvl w:val="0"/>
                <w:numId w:val="2"/>
              </w:numPr>
              <w:spacing w:after="40"/>
            </w:pPr>
            <w:r>
              <w:rPr>
                <w:rFonts w:ascii="Calibri" w:cs="Calibri" w:eastAsia="Calibri" w:hAnsi="Calibri"/>
                <w:color w:val="FFFFFF"/>
                <w:sz w:val="19"/>
                <w:szCs w:val="19"/>
              </w:rPr>
              <w:t xml:space="preserve">Médico (nivel 2): recetas y videollamadas</w:t>
            </w:r>
          </w:p>
          <w:p>
            <w:pPr>
              <w:pStyle w:val="ListParagraph"/>
              <w:numPr>
                <w:ilvl w:val="0"/>
                <w:numId w:val="2"/>
              </w:numPr>
              <w:spacing w:after="40"/>
            </w:pPr>
            <w:r>
              <w:rPr>
                <w:rFonts w:ascii="Calibri" w:cs="Calibri" w:eastAsia="Calibri" w:hAnsi="Calibri"/>
                <w:color w:val="FFFFFF"/>
                <w:sz w:val="19"/>
                <w:szCs w:val="19"/>
              </w:rPr>
              <w:t xml:space="preserve">Paciente (nivel 1): solo sus datos</w:t>
            </w:r>
          </w:p>
          <w:p>
            <w:pPr>
              <w:pStyle w:val="ListParagraph"/>
              <w:numPr>
                <w:ilvl w:val="0"/>
                <w:numId w:val="2"/>
              </w:numPr>
              <w:spacing w:after="40"/>
            </w:pPr>
            <w:r>
              <w:rPr>
                <w:rFonts w:ascii="Calibri" w:cs="Calibri" w:eastAsia="Calibri" w:hAnsi="Calibri"/>
                <w:color w:val="FFFFFF"/>
                <w:sz w:val="19"/>
                <w:szCs w:val="19"/>
              </w:rPr>
              <w:t xml:space="preserve">Validación de propiedad del recurso</w:t>
            </w:r>
          </w:p>
        </w:tc>
      </w:tr>
    </w:tbl>
    <w:p>
      <w:pPr>
        <w:spacing w:after="260" w:before="100"/>
        <w:jc w:val="center"/>
      </w:pPr>
      <w:r>
        <w:rPr>
          <w:rFonts w:ascii="Calibri" w:cs="Calibri" w:eastAsia="Calibri" w:hAnsi="Calibri"/>
          <w:i/>
          <w:iCs/>
          <w:color w:val="595959"/>
          <w:sz w:val="18"/>
          <w:szCs w:val="18"/>
        </w:rPr>
        <w:t xml:space="preserve">Figura 1. Arquitectura de seguridad de 3 capas implementada en MediCore.</w:t>
      </w:r>
    </w:p>
    <w:p>
      <w:pPr>
        <w:pStyle w:val="Heading2"/>
        <w:spacing w:after="160" w:before="260"/>
      </w:pPr>
      <w:r>
        <w:rPr>
          <w:rFonts w:ascii="Cambria" w:cs="Cambria" w:eastAsia="Cambria" w:hAnsi="Cambria"/>
          <w:color w:val="2E74B5"/>
          <w:sz w:val="26"/>
          <w:szCs w:val="26"/>
        </w:rPr>
        <w:t xml:space="preserve">4.1 Capa 1 – Encabezados de Seguridad HTTP (RASP)</w:t>
      </w:r>
    </w:p>
    <w:p>
      <w:pPr>
        <w:spacing w:after="160" w:line="276"/>
        <w:jc w:val="both"/>
      </w:pPr>
      <w:r>
        <w:rPr>
          <w:rFonts w:ascii="Calibri" w:cs="Calibri" w:eastAsia="Calibri" w:hAnsi="Calibri"/>
          <w:sz w:val="22"/>
          <w:szCs w:val="22"/>
        </w:rPr>
        <w:t xml:space="preserve">Se configuraron encabezados de seguridad en el servidor para mitigar ataques comunes del lado del cliente, como clickjacking, sniffing de tipo MIME y ejecución de scripts no autorizados:</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rPr>
          <w:cantSplit/>
        </w:trPr>
        <w:tc>
          <w:tcPr>
            <w:tcW w:type="dxa" w:w="9350"/>
            <w:shd w:fill="F2F2F2" w:val="clear"/>
            <w:tcMar>
              <w:top w:type="dxa" w:w="140"/>
              <w:left w:type="dxa" w:w="180"/>
              <w:bottom w:type="dxa" w:w="140"/>
              <w:right w:type="dxa" w:w="180"/>
            </w:tcMar>
          </w:tcPr>
          <w:p>
            <w:pPr>
              <w:spacing w:after="20"/>
            </w:pPr>
            <w:r>
              <w:rPr>
                <w:rFonts w:ascii="Consolas" w:cs="Consolas" w:eastAsia="Consolas" w:hAnsi="Consolas"/>
                <w:sz w:val="18"/>
                <w:szCs w:val="18"/>
              </w:rPr>
              <w:t xml:space="preserve">X-Frame-Options: SAMEORIGIN</w:t>
            </w:r>
          </w:p>
          <w:p>
            <w:pPr>
              <w:spacing w:after="20"/>
            </w:pPr>
            <w:r>
              <w:rPr>
                <w:rFonts w:ascii="Consolas" w:cs="Consolas" w:eastAsia="Consolas" w:hAnsi="Consolas"/>
                <w:sz w:val="18"/>
                <w:szCs w:val="18"/>
              </w:rPr>
              <w:t xml:space="preserve">X-Content-Type-Options: nosniff</w:t>
            </w:r>
          </w:p>
          <w:p>
            <w:pPr>
              <w:spacing w:after="20"/>
            </w:pPr>
            <w:r>
              <w:rPr>
                <w:rFonts w:ascii="Consolas" w:cs="Consolas" w:eastAsia="Consolas" w:hAnsi="Consolas"/>
                <w:sz w:val="18"/>
                <w:szCs w:val="18"/>
              </w:rPr>
              <w:t xml:space="preserve">Content-Security-Policy: ...</w:t>
            </w:r>
          </w:p>
          <w:p>
            <w:pPr>
              <w:spacing w:after="20"/>
            </w:pPr>
            <w:r>
              <w:rPr>
                <w:rFonts w:ascii="Consolas" w:cs="Consolas" w:eastAsia="Consolas" w:hAnsi="Consolas"/>
                <w:sz w:val="18"/>
                <w:szCs w:val="18"/>
              </w:rPr>
              <w:t xml:space="preserve">X-XSS-Protection: 1; mode=block</w:t>
            </w:r>
          </w:p>
        </w:tc>
      </w:tr>
    </w:tbl>
    <w:p>
      <w:pPr>
        <w:spacing w:after="260" w:before="100"/>
        <w:jc w:val="center"/>
      </w:pPr>
      <w:r>
        <w:rPr>
          <w:rFonts w:ascii="Calibri" w:cs="Calibri" w:eastAsia="Calibri" w:hAnsi="Calibri"/>
          <w:i/>
          <w:iCs/>
          <w:color w:val="595959"/>
          <w:sz w:val="18"/>
          <w:szCs w:val="18"/>
        </w:rPr>
        <w:t xml:space="preserve">Figura 2. Encabezados de seguridad HTTP configurados en el servidor.</w:t>
      </w:r>
    </w:p>
    <w:p>
      <w:pPr>
        <w:pStyle w:val="Heading2"/>
        <w:spacing w:after="160" w:before="260"/>
      </w:pPr>
      <w:r>
        <w:rPr>
          <w:rFonts w:ascii="Cambria" w:cs="Cambria" w:eastAsia="Cambria" w:hAnsi="Cambria"/>
          <w:color w:val="2E74B5"/>
          <w:sz w:val="26"/>
          <w:szCs w:val="26"/>
        </w:rPr>
        <w:t xml:space="preserve">4.2 Capa 2 – Autenticación con JSON Web Tokens (JWT)</w:t>
      </w:r>
    </w:p>
    <w:p>
      <w:pPr>
        <w:spacing w:after="160" w:line="276"/>
        <w:jc w:val="both"/>
      </w:pPr>
      <w:r>
        <w:rPr>
          <w:rFonts w:ascii="Calibri" w:cs="Calibri" w:eastAsia="Calibri" w:hAnsi="Calibri"/>
          <w:sz w:val="22"/>
          <w:szCs w:val="22"/>
        </w:rPr>
        <w:t xml:space="preserve">El módulo JwtHandler.php genera un token firmado con HMAC-SHA256 al iniciar sesión, con un tiempo de expiración de una hora. El payload incluye el identificador, correo, nombre y rol del usuario, lo que permite validar la identidad y los permisos sin necesidad de mantener el estado de la sesión en el servidor:</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rPr>
          <w:cantSplit/>
        </w:trPr>
        <w:tc>
          <w:tcPr>
            <w:tcW w:type="dxa" w:w="9350"/>
            <w:shd w:fill="F2F2F2" w:val="clear"/>
            <w:tcMar>
              <w:top w:type="dxa" w:w="140"/>
              <w:left w:type="dxa" w:w="180"/>
              <w:bottom w:type="dxa" w:w="140"/>
              <w:right w:type="dxa" w:w="180"/>
            </w:tcMar>
          </w:tcPr>
          <w:p>
            <w:pPr>
              <w:spacing w:after="20"/>
            </w:pPr>
            <w:r>
              <w:rPr>
                <w:rFonts w:ascii="Consolas" w:cs="Consolas" w:eastAsia="Consolas" w:hAnsi="Consolas"/>
                <w:sz w:val="18"/>
                <w:szCs w:val="18"/>
              </w:rPr>
              <w:t xml:space="preserve">public static function generarToken($datos) {</w:t>
            </w:r>
          </w:p>
          <w:p>
            <w:pPr>
              <w:spacing w:after="20"/>
            </w:pPr>
            <w:r>
              <w:rPr>
                <w:rFonts w:ascii="Consolas" w:cs="Consolas" w:eastAsia="Consolas" w:hAnsi="Consolas"/>
                <w:sz w:val="18"/>
                <w:szCs w:val="18"/>
              </w:rPr>
              <w:t xml:space="preserve">    $ahora = time();</w:t>
            </w:r>
          </w:p>
          <w:p>
            <w:pPr>
              <w:spacing w:after="20"/>
            </w:pPr>
            <w:r>
              <w:rPr>
                <w:rFonts w:ascii="Consolas" w:cs="Consolas" w:eastAsia="Consolas" w:hAnsi="Consolas"/>
                <w:sz w:val="18"/>
                <w:szCs w:val="18"/>
              </w:rPr>
              <w:t xml:space="preserve">    $expira = $ahora + self::$expirationTime; // 1 hora</w:t>
            </w:r>
          </w:p>
          <w:p>
            <w:pPr>
              <w:spacing w:after="20"/>
            </w:pPr>
            <w:r>
              <w:rPr>
                <w:rFonts w:ascii="Consolas" w:cs="Consolas" w:eastAsia="Consolas" w:hAnsi="Consolas"/>
                <w:sz w:val="18"/>
                <w:szCs w:val="18"/>
              </w:rPr>
              <w:t xml:space="preserve">    $header = [ 'alg' =&gt; self::$algorithm, 'typ' =&gt; 'JWT' ];</w:t>
            </w:r>
          </w:p>
          <w:p>
            <w:pPr>
              <w:spacing w:after="20"/>
            </w:pPr>
            <w:r>
              <w:rPr>
                <w:rFonts w:ascii="Consolas" w:cs="Consolas" w:eastAsia="Consolas" w:hAnsi="Consolas"/>
                <w:sz w:val="18"/>
                <w:szCs w:val="18"/>
              </w:rPr>
              <w:t xml:space="preserve">    $payload = [</w:t>
            </w:r>
          </w:p>
          <w:p>
            <w:pPr>
              <w:spacing w:after="20"/>
            </w:pPr>
            <w:r>
              <w:rPr>
                <w:rFonts w:ascii="Consolas" w:cs="Consolas" w:eastAsia="Consolas" w:hAnsi="Consolas"/>
                <w:sz w:val="18"/>
                <w:szCs w:val="18"/>
              </w:rPr>
              <w:t xml:space="preserve">        'iat' =&gt; $ahora, 'exp' =&gt; $expira,</w:t>
            </w:r>
          </w:p>
          <w:p>
            <w:pPr>
              <w:spacing w:after="20"/>
            </w:pPr>
            <w:r>
              <w:rPr>
                <w:rFonts w:ascii="Consolas" w:cs="Consolas" w:eastAsia="Consolas" w:hAnsi="Consolas"/>
                <w:sz w:val="18"/>
                <w:szCs w:val="18"/>
              </w:rPr>
              <w:t xml:space="preserve">        'id' =&gt; $datos['id'] ?? null,</w:t>
            </w:r>
          </w:p>
          <w:p>
            <w:pPr>
              <w:spacing w:after="20"/>
            </w:pPr>
            <w:r>
              <w:rPr>
                <w:rFonts w:ascii="Consolas" w:cs="Consolas" w:eastAsia="Consolas" w:hAnsi="Consolas"/>
                <w:sz w:val="18"/>
                <w:szCs w:val="18"/>
              </w:rPr>
              <w:t xml:space="preserve">        'correo' =&gt; $datos['correo'] ?? null,</w:t>
            </w:r>
          </w:p>
          <w:p>
            <w:pPr>
              <w:spacing w:after="20"/>
            </w:pPr>
            <w:r>
              <w:rPr>
                <w:rFonts w:ascii="Consolas" w:cs="Consolas" w:eastAsia="Consolas" w:hAnsi="Consolas"/>
                <w:sz w:val="18"/>
                <w:szCs w:val="18"/>
              </w:rPr>
              <w:t xml:space="preserve">        'nombre' =&gt; $datos['nombre'] ?? null,</w:t>
            </w:r>
          </w:p>
          <w:p>
            <w:pPr>
              <w:spacing w:after="20"/>
            </w:pPr>
            <w:r>
              <w:rPr>
                <w:rFonts w:ascii="Consolas" w:cs="Consolas" w:eastAsia="Consolas" w:hAnsi="Consolas"/>
                <w:sz w:val="18"/>
                <w:szCs w:val="18"/>
              </w:rPr>
              <w:t xml:space="preserve">        'rol' =&gt; $datos['rol'] ?? 'paciente'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 ... el resto del código genera la firma y retorna el token</w:t>
            </w:r>
          </w:p>
          <w:p>
            <w:pPr>
              <w:spacing w:after="20"/>
            </w:pPr>
            <w:r>
              <w:rPr>
                <w:rFonts w:ascii="Consolas" w:cs="Consolas" w:eastAsia="Consolas" w:hAnsi="Consolas"/>
                <w:sz w:val="18"/>
                <w:szCs w:val="18"/>
              </w:rPr>
              <w:t xml:space="preserve">}</w:t>
            </w:r>
          </w:p>
        </w:tc>
      </w:tr>
    </w:tbl>
    <w:p>
      <w:pPr>
        <w:spacing w:after="260" w:before="100"/>
        <w:jc w:val="center"/>
      </w:pPr>
      <w:r>
        <w:rPr>
          <w:rFonts w:ascii="Calibri" w:cs="Calibri" w:eastAsia="Calibri" w:hAnsi="Calibri"/>
          <w:i/>
          <w:iCs/>
          <w:color w:val="595959"/>
          <w:sz w:val="18"/>
          <w:szCs w:val="18"/>
        </w:rPr>
        <w:t xml:space="preserve">Figura 3. Fragmento de generarToken() en /api/JwtHandler.php.</w:t>
      </w:r>
    </w:p>
    <w:p>
      <w:pPr>
        <w:spacing w:after="160" w:line="276"/>
        <w:jc w:val="both"/>
      </w:pPr>
      <w:r>
        <w:rPr>
          <w:rFonts w:ascii="Calibri" w:cs="Calibri" w:eastAsia="Calibri" w:hAnsi="Calibri"/>
          <w:sz w:val="22"/>
          <w:szCs w:val="22"/>
        </w:rPr>
        <w:t xml:space="preserve">En cada petición a un endpoint protegido se valida la firma del token mediante comparación segura (hash_equals) para evitar ataques de temporización, y se verifica que no haya expirado:</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rPr>
          <w:cantSplit/>
        </w:trPr>
        <w:tc>
          <w:tcPr>
            <w:tcW w:type="dxa" w:w="9350"/>
            <w:shd w:fill="F2F2F2" w:val="clear"/>
            <w:tcMar>
              <w:top w:type="dxa" w:w="140"/>
              <w:left w:type="dxa" w:w="180"/>
              <w:bottom w:type="dxa" w:w="140"/>
              <w:right w:type="dxa" w:w="180"/>
            </w:tcMar>
          </w:tcPr>
          <w:p>
            <w:pPr>
              <w:spacing w:after="20"/>
            </w:pPr>
            <w:r>
              <w:rPr>
                <w:rFonts w:ascii="Consolas" w:cs="Consolas" w:eastAsia="Consolas" w:hAnsi="Consolas"/>
                <w:sz w:val="18"/>
                <w:szCs w:val="18"/>
              </w:rPr>
              <w:t xml:space="preserve">public static function validarToken($token) {</w:t>
            </w:r>
          </w:p>
          <w:p>
            <w:pPr>
              <w:spacing w:after="20"/>
            </w:pPr>
            <w:r>
              <w:rPr>
                <w:rFonts w:ascii="Consolas" w:cs="Consolas" w:eastAsia="Consolas" w:hAnsi="Consolas"/>
                <w:sz w:val="18"/>
                <w:szCs w:val="18"/>
              </w:rPr>
              <w:t xml:space="preserve">    // ... división del token en partes ...</w:t>
            </w:r>
          </w:p>
          <w:p>
            <w:pPr>
              <w:spacing w:after="20"/>
            </w:pPr>
            <w:r>
              <w:rPr>
                <w:rFonts w:ascii="Consolas" w:cs="Consolas" w:eastAsia="Consolas" w:hAnsi="Consolas"/>
                <w:sz w:val="18"/>
                <w:szCs w:val="18"/>
              </w:rPr>
              <w:t xml:space="preserve">    $signature = hash_hmac('sha256', $headerEncoded . '.' . $payloadEncoded, self::$secretKey, true);</w:t>
            </w:r>
          </w:p>
          <w:p>
            <w:pPr>
              <w:spacing w:after="20"/>
            </w:pPr>
            <w:r>
              <w:rPr>
                <w:rFonts w:ascii="Consolas" w:cs="Consolas" w:eastAsia="Consolas" w:hAnsi="Consolas"/>
                <w:sz w:val="18"/>
                <w:szCs w:val="18"/>
              </w:rPr>
              <w:t xml:space="preserve">    $signatureCalculada = self::base64urlEncode($signature);</w:t>
            </w:r>
          </w:p>
          <w:p>
            <w:pPr>
              <w:spacing w:after="20"/>
            </w:pPr>
            <w:r>
              <w:rPr>
                <w:rFonts w:ascii="Consolas" w:cs="Consolas" w:eastAsia="Consolas" w:hAnsi="Consolas"/>
                <w:sz w:val="18"/>
                <w:szCs w:val="18"/>
              </w:rPr>
              <w:t xml:space="preserve">    if (!hash_equals($signatureEncoded, $signatureCalculada)) { return false; }</w:t>
            </w:r>
          </w:p>
          <w:p>
            <w:pPr>
              <w:spacing w:after="20"/>
            </w:pPr>
            <w:r>
              <w:rPr>
                <w:rFonts w:ascii="Consolas" w:cs="Consolas" w:eastAsia="Consolas" w:hAnsi="Consolas"/>
                <w:sz w:val="18"/>
                <w:szCs w:val="18"/>
              </w:rPr>
              <w:t xml:space="preserve">    // ... el resto del código valida la expiración</w:t>
            </w:r>
          </w:p>
          <w:p>
            <w:pPr>
              <w:spacing w:after="20"/>
            </w:pPr>
            <w:r>
              <w:rPr>
                <w:rFonts w:ascii="Consolas" w:cs="Consolas" w:eastAsia="Consolas" w:hAnsi="Consolas"/>
                <w:sz w:val="18"/>
                <w:szCs w:val="18"/>
              </w:rPr>
              <w:t xml:space="preserve">}</w:t>
            </w:r>
          </w:p>
        </w:tc>
      </w:tr>
    </w:tbl>
    <w:p>
      <w:pPr>
        <w:spacing w:after="260" w:before="100"/>
        <w:jc w:val="center"/>
      </w:pPr>
      <w:r>
        <w:rPr>
          <w:rFonts w:ascii="Calibri" w:cs="Calibri" w:eastAsia="Calibri" w:hAnsi="Calibri"/>
          <w:i/>
          <w:iCs/>
          <w:color w:val="595959"/>
          <w:sz w:val="18"/>
          <w:szCs w:val="18"/>
        </w:rPr>
        <w:t xml:space="preserve">Figura 4. Fragmento de validarToken() en /api/JwtHandler.php.</w:t>
      </w:r>
    </w:p>
    <w:p>
      <w:pPr>
        <w:pStyle w:val="Heading2"/>
        <w:spacing w:after="160" w:before="260"/>
      </w:pPr>
      <w:r>
        <w:rPr>
          <w:rFonts w:ascii="Cambria" w:cs="Cambria" w:eastAsia="Cambria" w:hAnsi="Cambria"/>
          <w:color w:val="2E74B5"/>
          <w:sz w:val="26"/>
          <w:szCs w:val="26"/>
        </w:rPr>
        <w:t xml:space="preserve">4.3 Capa 3 – Autorización basada en roles (RBAC)</w:t>
      </w:r>
    </w:p>
    <w:p>
      <w:pPr>
        <w:spacing w:after="160" w:line="276"/>
        <w:jc w:val="both"/>
      </w:pPr>
      <w:r>
        <w:rPr>
          <w:rFonts w:ascii="Calibri" w:cs="Calibri" w:eastAsia="Calibri" w:hAnsi="Calibri"/>
          <w:sz w:val="22"/>
          <w:szCs w:val="22"/>
        </w:rPr>
        <w:t xml:space="preserve">Se definieron tres niveles de rol con privilegios diferenciados: Administrador (nivel 3, CRUD total sobre catálogos), Médico (nivel 2, puede crear recetas e iniciar videollamadas) y Paciente (nivel 1, solo puede leer sus propios datos y recetas). Además de la validación del rol, se verifica la propiedad del recurso, de forma que un usuario únicamente pueda acceder a sus propios registros:</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rPr>
          <w:cantSplit/>
        </w:trPr>
        <w:tc>
          <w:tcPr>
            <w:tcW w:type="dxa" w:w="9350"/>
            <w:shd w:fill="F2F2F2" w:val="clear"/>
            <w:tcMar>
              <w:top w:type="dxa" w:w="140"/>
              <w:left w:type="dxa" w:w="180"/>
              <w:bottom w:type="dxa" w:w="140"/>
              <w:right w:type="dxa" w:w="180"/>
            </w:tcMar>
          </w:tcPr>
          <w:p>
            <w:pPr>
              <w:spacing w:after="20"/>
            </w:pPr>
            <w:r>
              <w:rPr>
                <w:rFonts w:ascii="Consolas" w:cs="Consolas" w:eastAsia="Consolas" w:hAnsi="Consolas"/>
                <w:sz w:val="18"/>
                <w:szCs w:val="18"/>
              </w:rPr>
              <w:t xml:space="preserve">function crearReceta($conexion, $datos, $usuarioAutenticado) {</w:t>
            </w:r>
          </w:p>
          <w:p>
            <w:pPr>
              <w:spacing w:after="20"/>
            </w:pPr>
            <w:r>
              <w:rPr>
                <w:rFonts w:ascii="Consolas" w:cs="Consolas" w:eastAsia="Consolas" w:hAnsi="Consolas"/>
                <w:sz w:val="18"/>
                <w:szCs w:val="18"/>
              </w:rPr>
              <w:t xml:space="preserve">    if (!$usuarioAutenticado || $usuarioAutenticado['rol'] !== 'medico') {</w:t>
            </w:r>
          </w:p>
          <w:p>
            <w:pPr>
              <w:spacing w:after="20"/>
            </w:pPr>
            <w:r>
              <w:rPr>
                <w:rFonts w:ascii="Consolas" w:cs="Consolas" w:eastAsia="Consolas" w:hAnsi="Consolas"/>
                <w:sz w:val="18"/>
                <w:szCs w:val="18"/>
              </w:rPr>
              <w:t xml:space="preserve">        http_response_code(403); // Forbidden</w:t>
            </w:r>
          </w:p>
          <w:p>
            <w:pPr>
              <w:spacing w:after="20"/>
            </w:pPr>
            <w:r>
              <w:rPr>
                <w:rFonts w:ascii="Consolas" w:cs="Consolas" w:eastAsia="Consolas" w:hAnsi="Consolas"/>
                <w:sz w:val="18"/>
                <w:szCs w:val="18"/>
              </w:rPr>
              <w:t xml:space="preserve">        echo json_encode(['error' =&gt; 'Solo los médicos pueden emitir recetas.']);</w:t>
            </w:r>
          </w:p>
          <w:p>
            <w:pPr>
              <w:spacing w:after="20"/>
            </w:pPr>
            <w:r>
              <w:rPr>
                <w:rFonts w:ascii="Consolas" w:cs="Consolas" w:eastAsia="Consolas" w:hAnsi="Consolas"/>
                <w:sz w:val="18"/>
                <w:szCs w:val="18"/>
              </w:rPr>
              <w:t xml:space="preserve">        return;</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 ... resto de la lógica</w:t>
            </w:r>
          </w:p>
          <w:p>
            <w:pPr>
              <w:spacing w:after="20"/>
            </w:pPr>
            <w:r>
              <w:rPr>
                <w:rFonts w:ascii="Consolas" w:cs="Consolas" w:eastAsia="Consolas" w:hAnsi="Consolas"/>
                <w:sz w:val="18"/>
                <w:szCs w:val="18"/>
              </w:rPr>
              <w:t xml:space="preserve">}</w:t>
            </w:r>
          </w:p>
        </w:tc>
      </w:tr>
    </w:tbl>
    <w:p>
      <w:pPr>
        <w:spacing w:after="260" w:before="100"/>
        <w:jc w:val="center"/>
      </w:pPr>
      <w:r>
        <w:rPr>
          <w:rFonts w:ascii="Calibri" w:cs="Calibri" w:eastAsia="Calibri" w:hAnsi="Calibri"/>
          <w:i/>
          <w:iCs/>
          <w:color w:val="595959"/>
          <w:sz w:val="18"/>
          <w:szCs w:val="18"/>
        </w:rPr>
        <w:t xml:space="preserve">Figura 5. Validación de rol RBAC en el endpoint crearReceta, api_producto3.php.</w:t>
      </w:r>
    </w:p>
    <w:p>
      <w:pPr>
        <w:pStyle w:val="Heading1"/>
        <w:spacing w:after="200" w:before="320"/>
      </w:pPr>
      <w:r>
        <w:rPr>
          <w:rFonts w:ascii="Cambria" w:cs="Cambria" w:eastAsia="Cambria" w:hAnsi="Cambria"/>
          <w:color w:val="1F4E79"/>
          <w:sz w:val="32"/>
          <w:szCs w:val="32"/>
        </w:rPr>
        <w:t xml:space="preserve">5. Web Services de Terceros</w:t>
      </w:r>
    </w:p>
    <w:p>
      <w:pPr>
        <w:spacing w:after="160" w:line="276"/>
        <w:jc w:val="both"/>
      </w:pPr>
      <w:r>
        <w:rPr>
          <w:rFonts w:ascii="Calibri" w:cs="Calibri" w:eastAsia="Calibri" w:hAnsi="Calibri"/>
          <w:sz w:val="22"/>
          <w:szCs w:val="22"/>
        </w:rPr>
        <w:t xml:space="preserve">Se integraron tres servicios externos para ampliar las funcionalidades de MediCore, encapsulando la lógica de consumo en el módulo ThirdPartyApis.php.</w:t>
      </w:r>
    </w:p>
    <w:p>
      <w:pPr>
        <w:spacing w:after="120"/>
        <w:jc w:val="center"/>
      </w:pPr>
      <w:r>
        <w:rPr>
          <w:rFonts w:ascii="Calibri" w:cs="Calibri" w:eastAsia="Calibri" w:hAnsi="Calibri"/>
          <w:b/>
          <w:bCs/>
          <w:sz w:val="21"/>
          <w:szCs w:val="21"/>
        </w:rPr>
        <w:t xml:space="preserve">Integración de Web Services de Terceros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00843D" w:val="clear"/>
            <w:tcMar>
              <w:top w:type="dxa" w:w="140"/>
              <w:left w:type="dxa" w:w="220"/>
              <w:bottom w:type="dxa" w:w="140"/>
              <w:right w:type="dxa" w:w="220"/>
            </w:tcMar>
          </w:tcPr>
          <w:p>
            <w:pPr>
              <w:spacing w:after="80"/>
            </w:pPr>
            <w:r>
              <w:rPr>
                <w:rFonts w:ascii="Calibri" w:cs="Calibri" w:eastAsia="Calibri" w:hAnsi="Calibri"/>
                <w:b/>
                <w:bCs/>
                <w:color w:val="FFFFFF"/>
                <w:sz w:val="21"/>
                <w:szCs w:val="21"/>
              </w:rPr>
              <w:t xml:space="preserve">OpenWeatherMap → Endpoint propio /clima/recomendaciones</w:t>
            </w:r>
          </w:p>
          <w:p>
            <w:pPr>
              <w:pStyle w:val="ListParagraph"/>
              <w:numPr>
                <w:ilvl w:val="0"/>
                <w:numId w:val="2"/>
              </w:numPr>
              <w:spacing w:after="40"/>
            </w:pPr>
            <w:r>
              <w:rPr>
                <w:rFonts w:ascii="Calibri" w:cs="Calibri" w:eastAsia="Calibri" w:hAnsi="Calibri"/>
                <w:color w:val="FFFFFF"/>
                <w:sz w:val="19"/>
                <w:szCs w:val="19"/>
              </w:rPr>
              <w:t xml:space="preserve">Clima → Clasificación → Recomendación en BD</w:t>
            </w:r>
          </w:p>
        </w:tc>
      </w:tr>
    </w:tbl>
    <w:p>
      <w:pPr>
        <w:spacing w:after="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045C2B" w:val="clear"/>
            <w:tcMar>
              <w:top w:type="dxa" w:w="140"/>
              <w:left w:type="dxa" w:w="220"/>
              <w:bottom w:type="dxa" w:w="140"/>
              <w:right w:type="dxa" w:w="220"/>
            </w:tcMar>
          </w:tcPr>
          <w:p>
            <w:pPr>
              <w:spacing w:after="80"/>
            </w:pPr>
            <w:r>
              <w:rPr>
                <w:rFonts w:ascii="Calibri" w:cs="Calibri" w:eastAsia="Calibri" w:hAnsi="Calibri"/>
                <w:b/>
                <w:bCs/>
                <w:color w:val="FFFFFF"/>
                <w:sz w:val="21"/>
                <w:szCs w:val="21"/>
              </w:rPr>
              <w:t xml:space="preserve">Google Maps (Haversine) → Endpoint propio /ubicaciones</w:t>
            </w:r>
          </w:p>
          <w:p>
            <w:pPr>
              <w:pStyle w:val="ListParagraph"/>
              <w:numPr>
                <w:ilvl w:val="0"/>
                <w:numId w:val="2"/>
              </w:numPr>
              <w:spacing w:after="40"/>
            </w:pPr>
            <w:r>
              <w:rPr>
                <w:rFonts w:ascii="Calibri" w:cs="Calibri" w:eastAsia="Calibri" w:hAnsi="Calibri"/>
                <w:color w:val="FFFFFF"/>
                <w:sz w:val="19"/>
                <w:szCs w:val="19"/>
              </w:rPr>
              <w:t xml:space="preserve">Cálculo de distancia → Clínicas ordenadas</w:t>
            </w:r>
          </w:p>
        </w:tc>
      </w:tr>
    </w:tbl>
    <w:p>
      <w:pPr>
        <w:spacing w:after="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0B1F14" w:val="clear"/>
            <w:tcMar>
              <w:top w:type="dxa" w:w="140"/>
              <w:left w:type="dxa" w:w="220"/>
              <w:bottom w:type="dxa" w:w="140"/>
              <w:right w:type="dxa" w:w="220"/>
            </w:tcMar>
          </w:tcPr>
          <w:p>
            <w:pPr>
              <w:spacing w:after="80"/>
            </w:pPr>
            <w:r>
              <w:rPr>
                <w:rFonts w:ascii="Calibri" w:cs="Calibri" w:eastAsia="Calibri" w:hAnsi="Calibri"/>
                <w:b/>
                <w:bCs/>
                <w:color w:val="FFFFFF"/>
                <w:sz w:val="21"/>
                <w:szCs w:val="21"/>
              </w:rPr>
              <w:t xml:space="preserve">Daily.co → Endpoint propio /videollamadas</w:t>
            </w:r>
          </w:p>
          <w:p>
            <w:pPr>
              <w:pStyle w:val="ListParagraph"/>
              <w:numPr>
                <w:ilvl w:val="0"/>
                <w:numId w:val="2"/>
              </w:numPr>
              <w:spacing w:after="40"/>
            </w:pPr>
            <w:r>
              <w:rPr>
                <w:rFonts w:ascii="Calibri" w:cs="Calibri" w:eastAsia="Calibri" w:hAnsi="Calibri"/>
                <w:color w:val="FFFFFF"/>
                <w:sz w:val="19"/>
                <w:szCs w:val="19"/>
              </w:rPr>
              <w:t xml:space="preserve">Sala privada → Expira en 24 h</w:t>
            </w:r>
          </w:p>
        </w:tc>
      </w:tr>
    </w:tbl>
    <w:p>
      <w:pPr>
        <w:spacing w:after="260" w:before="100"/>
        <w:jc w:val="center"/>
      </w:pPr>
      <w:r>
        <w:rPr>
          <w:rFonts w:ascii="Calibri" w:cs="Calibri" w:eastAsia="Calibri" w:hAnsi="Calibri"/>
          <w:i/>
          <w:iCs/>
          <w:color w:val="595959"/>
          <w:sz w:val="18"/>
          <w:szCs w:val="18"/>
        </w:rPr>
        <w:t xml:space="preserve">Figura 6. Flujo de integración de los tres web services de terceros (Paciente → Lat/Lon → API → Endpoint propio).</w:t>
      </w:r>
    </w:p>
    <w:p>
      <w:pPr>
        <w:pStyle w:val="Heading2"/>
        <w:spacing w:after="160" w:before="260"/>
      </w:pPr>
      <w:r>
        <w:rPr>
          <w:rFonts w:ascii="Cambria" w:cs="Cambria" w:eastAsia="Cambria" w:hAnsi="Cambria"/>
          <w:color w:val="2E74B5"/>
          <w:sz w:val="26"/>
          <w:szCs w:val="26"/>
        </w:rPr>
        <w:t xml:space="preserve">5.1 OpenWeatherMap – Recomendaciones por clima</w:t>
      </w:r>
    </w:p>
    <w:p>
      <w:pPr>
        <w:spacing w:after="160" w:line="276"/>
        <w:jc w:val="both"/>
      </w:pPr>
      <w:r>
        <w:rPr>
          <w:rFonts w:ascii="Calibri" w:cs="Calibri" w:eastAsia="Calibri" w:hAnsi="Calibri"/>
          <w:sz w:val="22"/>
          <w:szCs w:val="22"/>
        </w:rPr>
        <w:t xml:space="preserve">A partir de la latitud y longitud del paciente se consulta el clima actual, se clasifica la condición climática de forma local y se recupera de la base de datos una recomendación médica asociada al tipo de enfermedad y a la condición detectada:</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rPr>
          <w:cantSplit/>
        </w:trPr>
        <w:tc>
          <w:tcPr>
            <w:tcW w:type="dxa" w:w="9350"/>
            <w:shd w:fill="F2F2F2" w:val="clear"/>
            <w:tcMar>
              <w:top w:type="dxa" w:w="140"/>
              <w:left w:type="dxa" w:w="180"/>
              <w:bottom w:type="dxa" w:w="140"/>
              <w:right w:type="dxa" w:w="180"/>
            </w:tcMar>
          </w:tcPr>
          <w:p>
            <w:pPr>
              <w:spacing w:after="20"/>
            </w:pPr>
            <w:r>
              <w:rPr>
                <w:rFonts w:ascii="Consolas" w:cs="Consolas" w:eastAsia="Consolas" w:hAnsi="Consolas"/>
                <w:sz w:val="18"/>
                <w:szCs w:val="18"/>
              </w:rPr>
              <w:t xml:space="preserve">public static function obtenerRecomendacionesPorClima($latitud, $longitud, $tipo_enfermedad_id, $conexion) {</w:t>
            </w:r>
          </w:p>
          <w:p>
            <w:pPr>
              <w:spacing w:after="20"/>
            </w:pPr>
            <w:r>
              <w:rPr>
                <w:rFonts w:ascii="Consolas" w:cs="Consolas" w:eastAsia="Consolas" w:hAnsi="Consolas"/>
                <w:sz w:val="18"/>
                <w:szCs w:val="18"/>
              </w:rPr>
              <w:t xml:space="preserve">    $clima = self::obtenerClima($latitud, $longitud);</w:t>
            </w:r>
          </w:p>
          <w:p>
            <w:pPr>
              <w:spacing w:after="20"/>
            </w:pPr>
            <w:r>
              <w:rPr>
                <w:rFonts w:ascii="Consolas" w:cs="Consolas" w:eastAsia="Consolas" w:hAnsi="Consolas"/>
                <w:sz w:val="18"/>
                <w:szCs w:val="18"/>
              </w:rPr>
              <w:t xml:space="preserve">    $condicion_clima = self::clasificarClima($clima['temperatura'], $clima['humedad']);</w:t>
            </w:r>
          </w:p>
          <w:p>
            <w:pPr>
              <w:spacing w:after="20"/>
            </w:pPr>
            <w:r>
              <w:rPr>
                <w:rFonts w:ascii="Consolas" w:cs="Consolas" w:eastAsia="Consolas" w:hAnsi="Consolas"/>
                <w:sz w:val="18"/>
                <w:szCs w:val="18"/>
              </w:rPr>
              <w:t xml:space="preserve">    $stmt = $conexion-&gt;prepare("</w:t>
            </w:r>
          </w:p>
          <w:p>
            <w:pPr>
              <w:spacing w:after="20"/>
            </w:pPr>
            <w:r>
              <w:rPr>
                <w:rFonts w:ascii="Consolas" w:cs="Consolas" w:eastAsia="Consolas" w:hAnsi="Consolas"/>
                <w:sz w:val="18"/>
                <w:szCs w:val="18"/>
              </w:rPr>
              <w:t xml:space="preserve">        SELECT r.recomendacion, r.nivel_alerta</w:t>
            </w:r>
          </w:p>
          <w:p>
            <w:pPr>
              <w:spacing w:after="20"/>
            </w:pPr>
            <w:r>
              <w:rPr>
                <w:rFonts w:ascii="Consolas" w:cs="Consolas" w:eastAsia="Consolas" w:hAnsi="Consolas"/>
                <w:sz w:val="18"/>
                <w:szCs w:val="18"/>
              </w:rPr>
              <w:t xml:space="preserve">        FROM recomendaciones_clima r</w:t>
            </w:r>
          </w:p>
          <w:p>
            <w:pPr>
              <w:spacing w:after="20"/>
            </w:pPr>
            <w:r>
              <w:rPr>
                <w:rFonts w:ascii="Consolas" w:cs="Consolas" w:eastAsia="Consolas" w:hAnsi="Consolas"/>
                <w:sz w:val="18"/>
                <w:szCs w:val="18"/>
              </w:rPr>
              <w:t xml:space="preserve">        WHERE r.tipo_enfermedad_id = ? AND r.condicion_clima = ?</w:t>
            </w:r>
          </w:p>
          <w:p>
            <w:pPr>
              <w:spacing w:after="20"/>
            </w:pPr>
            <w:r>
              <w:rPr>
                <w:rFonts w:ascii="Consolas" w:cs="Consolas" w:eastAsia="Consolas" w:hAnsi="Consolas"/>
                <w:sz w:val="18"/>
                <w:szCs w:val="18"/>
              </w:rPr>
              <w:t xml:space="preserve">        LIMIT 1</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 ...</w:t>
            </w:r>
          </w:p>
          <w:p>
            <w:pPr>
              <w:spacing w:after="20"/>
            </w:pPr>
            <w:r>
              <w:rPr>
                <w:rFonts w:ascii="Consolas" w:cs="Consolas" w:eastAsia="Consolas" w:hAnsi="Consolas"/>
                <w:sz w:val="18"/>
                <w:szCs w:val="18"/>
              </w:rPr>
              <w:t xml:space="preserve">}</w:t>
            </w:r>
          </w:p>
        </w:tc>
      </w:tr>
    </w:tbl>
    <w:p>
      <w:pPr>
        <w:spacing w:after="260" w:before="100"/>
        <w:jc w:val="center"/>
      </w:pPr>
      <w:r>
        <w:rPr>
          <w:rFonts w:ascii="Calibri" w:cs="Calibri" w:eastAsia="Calibri" w:hAnsi="Calibri"/>
          <w:i/>
          <w:iCs/>
          <w:color w:val="595959"/>
          <w:sz w:val="18"/>
          <w:szCs w:val="18"/>
        </w:rPr>
        <w:t xml:space="preserve">Figura 7. Consumo de OpenWeatherMap y consulta de recomendaciones, endpoint /clima/recomendaciones.</w:t>
      </w:r>
    </w:p>
    <w:p>
      <w:pPr>
        <w:pStyle w:val="Heading2"/>
        <w:spacing w:after="160" w:before="260"/>
      </w:pPr>
      <w:r>
        <w:rPr>
          <w:rFonts w:ascii="Cambria" w:cs="Cambria" w:eastAsia="Cambria" w:hAnsi="Cambria"/>
          <w:color w:val="2E74B5"/>
          <w:sz w:val="26"/>
          <w:szCs w:val="26"/>
        </w:rPr>
        <w:t xml:space="preserve">5.2 Google Maps – Ubicaciones y distancia Haversine</w:t>
      </w:r>
    </w:p>
    <w:p>
      <w:pPr>
        <w:spacing w:after="160" w:line="276"/>
        <w:jc w:val="both"/>
      </w:pPr>
      <w:r>
        <w:rPr>
          <w:rFonts w:ascii="Calibri" w:cs="Calibri" w:eastAsia="Calibri" w:hAnsi="Calibri"/>
          <w:sz w:val="22"/>
          <w:szCs w:val="22"/>
        </w:rPr>
        <w:t xml:space="preserve">Para localizar clínicas cercanas no se invoca directamente una API de Google, sino que se aplica la fórmula de Haversine sobre las coordenadas almacenadas en la base de datos, calculando la distancia en kilómetros y ordenando los resultados de la clínica más cercana a la más lejana:</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rPr>
          <w:cantSplit/>
        </w:trPr>
        <w:tc>
          <w:tcPr>
            <w:tcW w:type="dxa" w:w="9350"/>
            <w:shd w:fill="F2F2F2" w:val="clear"/>
            <w:tcMar>
              <w:top w:type="dxa" w:w="140"/>
              <w:left w:type="dxa" w:w="180"/>
              <w:bottom w:type="dxa" w:w="140"/>
              <w:right w:type="dxa" w:w="180"/>
            </w:tcMar>
          </w:tcPr>
          <w:p>
            <w:pPr>
              <w:spacing w:after="20"/>
            </w:pPr>
            <w:r>
              <w:rPr>
                <w:rFonts w:ascii="Consolas" w:cs="Consolas" w:eastAsia="Consolas" w:hAnsi="Consolas"/>
                <w:sz w:val="18"/>
                <w:szCs w:val="18"/>
              </w:rPr>
              <w:t xml:space="preserve">SELECT id, nombre, direccion, latitud, longitud,</w:t>
            </w:r>
          </w:p>
          <w:p>
            <w:pPr>
              <w:spacing w:after="20"/>
            </w:pPr>
            <w:r>
              <w:rPr>
                <w:rFonts w:ascii="Consolas" w:cs="Consolas" w:eastAsia="Consolas" w:hAnsi="Consolas"/>
                <w:sz w:val="18"/>
                <w:szCs w:val="18"/>
              </w:rPr>
              <w:t xml:space="preserve">  (6371 * acos(cos(radians(?)) * cos(radians(latitud)) *</w:t>
            </w:r>
          </w:p>
          <w:p>
            <w:pPr>
              <w:spacing w:after="20"/>
            </w:pPr>
            <w:r>
              <w:rPr>
                <w:rFonts w:ascii="Consolas" w:cs="Consolas" w:eastAsia="Consolas" w:hAnsi="Consolas"/>
                <w:sz w:val="18"/>
                <w:szCs w:val="18"/>
              </w:rPr>
              <w:t xml:space="preserve">  cos(radians(longitud) - radians(?)) + sin(radians(?)) *</w:t>
            </w:r>
          </w:p>
          <w:p>
            <w:pPr>
              <w:spacing w:after="20"/>
            </w:pPr>
            <w:r>
              <w:rPr>
                <w:rFonts w:ascii="Consolas" w:cs="Consolas" w:eastAsia="Consolas" w:hAnsi="Consolas"/>
                <w:sz w:val="18"/>
                <w:szCs w:val="18"/>
              </w:rPr>
              <w:t xml:space="preserve">  sin(radians(latitud)))) AS distancia_km</w:t>
            </w:r>
          </w:p>
          <w:p>
            <w:pPr>
              <w:spacing w:after="20"/>
            </w:pPr>
            <w:r>
              <w:rPr>
                <w:rFonts w:ascii="Consolas" w:cs="Consolas" w:eastAsia="Consolas" w:hAnsi="Consolas"/>
                <w:sz w:val="18"/>
                <w:szCs w:val="18"/>
              </w:rPr>
              <w:t xml:space="preserve">FROM ubicaciones_clinicas</w:t>
            </w:r>
          </w:p>
          <w:p>
            <w:pPr>
              <w:spacing w:after="20"/>
            </w:pPr>
            <w:r>
              <w:rPr>
                <w:rFonts w:ascii="Consolas" w:cs="Consolas" w:eastAsia="Consolas" w:hAnsi="Consolas"/>
                <w:sz w:val="18"/>
                <w:szCs w:val="18"/>
              </w:rPr>
              <w:t xml:space="preserve">HAVING distancia_km &lt;= ?</w:t>
            </w:r>
          </w:p>
          <w:p>
            <w:pPr>
              <w:spacing w:after="20"/>
            </w:pPr>
            <w:r>
              <w:rPr>
                <w:rFonts w:ascii="Consolas" w:cs="Consolas" w:eastAsia="Consolas" w:hAnsi="Consolas"/>
                <w:sz w:val="18"/>
                <w:szCs w:val="18"/>
              </w:rPr>
              <w:t xml:space="preserve">ORDER BY distancia_km ASC</w:t>
            </w:r>
          </w:p>
        </w:tc>
      </w:tr>
    </w:tbl>
    <w:p>
      <w:pPr>
        <w:spacing w:after="260" w:before="100"/>
        <w:jc w:val="center"/>
      </w:pPr>
      <w:r>
        <w:rPr>
          <w:rFonts w:ascii="Calibri" w:cs="Calibri" w:eastAsia="Calibri" w:hAnsi="Calibri"/>
          <w:i/>
          <w:iCs/>
          <w:color w:val="595959"/>
          <w:sz w:val="18"/>
          <w:szCs w:val="18"/>
        </w:rPr>
        <w:t xml:space="preserve">Figura 8. Cálculo de distancia Haversine en el endpoint /ubicaciones.</w:t>
      </w:r>
    </w:p>
    <w:p>
      <w:pPr>
        <w:pStyle w:val="Heading2"/>
        <w:spacing w:after="160" w:before="260"/>
      </w:pPr>
      <w:r>
        <w:rPr>
          <w:rFonts w:ascii="Cambria" w:cs="Cambria" w:eastAsia="Cambria" w:hAnsi="Cambria"/>
          <w:color w:val="2E74B5"/>
          <w:sz w:val="26"/>
          <w:szCs w:val="26"/>
        </w:rPr>
        <w:t xml:space="preserve">5.3 Daily.co – Videollamadas médicas</w:t>
      </w:r>
    </w:p>
    <w:p>
      <w:pPr>
        <w:spacing w:after="160" w:line="276"/>
        <w:jc w:val="both"/>
      </w:pPr>
      <w:r>
        <w:rPr>
          <w:rFonts w:ascii="Calibri" w:cs="Calibri" w:eastAsia="Calibri" w:hAnsi="Calibri"/>
          <w:sz w:val="22"/>
          <w:szCs w:val="22"/>
        </w:rPr>
        <w:t xml:space="preserve">El médico genera una sala privada con una URL única y un tiempo de expiración de 24 horas; el paciente accede a la consulta mediante dicho enlace, y la sesión queda registrada para fines de auditoría:</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rPr>
          <w:cantSplit/>
        </w:trPr>
        <w:tc>
          <w:tcPr>
            <w:tcW w:type="dxa" w:w="9350"/>
            <w:shd w:fill="F2F2F2" w:val="clear"/>
            <w:tcMar>
              <w:top w:type="dxa" w:w="140"/>
              <w:left w:type="dxa" w:w="180"/>
              <w:bottom w:type="dxa" w:w="140"/>
              <w:right w:type="dxa" w:w="180"/>
            </w:tcMar>
          </w:tcPr>
          <w:p>
            <w:pPr>
              <w:spacing w:after="20"/>
            </w:pPr>
            <w:r>
              <w:rPr>
                <w:rFonts w:ascii="Consolas" w:cs="Consolas" w:eastAsia="Consolas" w:hAnsi="Consolas"/>
                <w:sz w:val="18"/>
                <w:szCs w:val="18"/>
              </w:rPr>
              <w:t xml:space="preserve">public static function crearSalaVideollamada($nombre_sala, $opciones = []) {</w:t>
            </w:r>
          </w:p>
          <w:p>
            <w:pPr>
              <w:spacing w:after="20"/>
            </w:pPr>
            <w:r>
              <w:rPr>
                <w:rFonts w:ascii="Consolas" w:cs="Consolas" w:eastAsia="Consolas" w:hAnsi="Consolas"/>
                <w:sz w:val="18"/>
                <w:szCs w:val="18"/>
              </w:rPr>
              <w:t xml:space="preserve">    $url = "https://api.daily.co/v1/rooms";</w:t>
            </w:r>
          </w:p>
          <w:p>
            <w:pPr>
              <w:spacing w:after="20"/>
            </w:pPr>
            <w:r>
              <w:rPr>
                <w:rFonts w:ascii="Consolas" w:cs="Consolas" w:eastAsia="Consolas" w:hAnsi="Consolas"/>
                <w:sz w:val="18"/>
                <w:szCs w:val="18"/>
              </w:rPr>
              <w:t xml:space="preserve">    $datos = [</w:t>
            </w:r>
          </w:p>
          <w:p>
            <w:pPr>
              <w:spacing w:after="20"/>
            </w:pPr>
            <w:r>
              <w:rPr>
                <w:rFonts w:ascii="Consolas" w:cs="Consolas" w:eastAsia="Consolas" w:hAnsi="Consolas"/>
                <w:sz w:val="18"/>
                <w:szCs w:val="18"/>
              </w:rPr>
              <w:t xml:space="preserve">        'name' =&gt; sanitizarNombreSala($nombre_sala),</w:t>
            </w:r>
          </w:p>
          <w:p>
            <w:pPr>
              <w:spacing w:after="20"/>
            </w:pPr>
            <w:r>
              <w:rPr>
                <w:rFonts w:ascii="Consolas" w:cs="Consolas" w:eastAsia="Consolas" w:hAnsi="Consolas"/>
                <w:sz w:val="18"/>
                <w:szCs w:val="18"/>
              </w:rPr>
              <w:t xml:space="preserve">        'privacy' =&gt; 'private',</w:t>
            </w:r>
          </w:p>
          <w:p>
            <w:pPr>
              <w:spacing w:after="20"/>
            </w:pPr>
            <w:r>
              <w:rPr>
                <w:rFonts w:ascii="Consolas" w:cs="Consolas" w:eastAsia="Consolas" w:hAnsi="Consolas"/>
                <w:sz w:val="18"/>
                <w:szCs w:val="18"/>
              </w:rPr>
              <w:t xml:space="preserve">        'enable_prejoin_ui' =&gt; true,</w:t>
            </w:r>
          </w:p>
          <w:p>
            <w:pPr>
              <w:spacing w:after="20"/>
            </w:pPr>
            <w:r>
              <w:rPr>
                <w:rFonts w:ascii="Consolas" w:cs="Consolas" w:eastAsia="Consolas" w:hAnsi="Consolas"/>
                <w:sz w:val="18"/>
                <w:szCs w:val="18"/>
              </w:rPr>
              <w:t xml:space="preserve">        'exp' =&gt; time() + (24 * 3600)</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$response = self::hacerPeticion($url, 'POST', $datos);</w:t>
            </w:r>
          </w:p>
          <w:p>
            <w:pPr>
              <w:spacing w:after="20"/>
            </w:pPr>
            <w:r>
              <w:rPr>
                <w:rFonts w:ascii="Consolas" w:cs="Consolas" w:eastAsia="Consolas" w:hAnsi="Consolas"/>
                <w:sz w:val="18"/>
                <w:szCs w:val="18"/>
              </w:rPr>
              <w:t xml:space="preserve">    // ... procesar respuesta y retornarla</w:t>
            </w:r>
          </w:p>
          <w:p>
            <w:pPr>
              <w:spacing w:after="20"/>
            </w:pPr>
            <w:r>
              <w:rPr>
                <w:rFonts w:ascii="Consolas" w:cs="Consolas" w:eastAsia="Consolas" w:hAnsi="Consolas"/>
                <w:sz w:val="18"/>
                <w:szCs w:val="18"/>
              </w:rPr>
              <w:t xml:space="preserve">}</w:t>
            </w:r>
          </w:p>
        </w:tc>
      </w:tr>
    </w:tbl>
    <w:p>
      <w:pPr>
        <w:spacing w:after="260" w:before="100"/>
        <w:jc w:val="center"/>
      </w:pPr>
      <w:r>
        <w:rPr>
          <w:rFonts w:ascii="Calibri" w:cs="Calibri" w:eastAsia="Calibri" w:hAnsi="Calibri"/>
          <w:i/>
          <w:iCs/>
          <w:color w:val="595959"/>
          <w:sz w:val="18"/>
          <w:szCs w:val="18"/>
        </w:rPr>
        <w:t xml:space="preserve">Figura 9. Creación de sala de videollamada, endpoint /videollamadas.</w:t>
      </w:r>
    </w:p>
    <w:p>
      <w:pPr>
        <w:pStyle w:val="Heading1"/>
        <w:spacing w:after="200" w:before="320"/>
      </w:pPr>
      <w:r>
        <w:rPr>
          <w:rFonts w:ascii="Cambria" w:cs="Cambria" w:eastAsia="Cambria" w:hAnsi="Cambria"/>
          <w:color w:val="1F4E79"/>
          <w:sz w:val="32"/>
          <w:szCs w:val="32"/>
        </w:rPr>
        <w:t xml:space="preserve">6. Web Services Propios</w:t>
      </w:r>
    </w:p>
    <w:p>
      <w:pPr>
        <w:spacing w:after="160" w:line="276"/>
        <w:jc w:val="both"/>
      </w:pPr>
      <w:r>
        <w:rPr>
          <w:rFonts w:ascii="Calibri" w:cs="Calibri" w:eastAsia="Calibri" w:hAnsi="Calibri"/>
          <w:sz w:val="22"/>
          <w:szCs w:val="22"/>
        </w:rPr>
        <w:t xml:space="preserve">Se desarrollaron 14 endpoints RESTful propios para gestionar las nuevas entidades del sistema: recetas, videollamadas, enfermedades, recomendaciones de clima y ubicaciones de clínicas. A continuación se documentan los recursos principales.</w:t>
      </w:r>
    </w:p>
    <w:p>
      <w:pPr>
        <w:pStyle w:val="Heading2"/>
        <w:spacing w:after="160" w:before="260"/>
      </w:pPr>
      <w:r>
        <w:rPr>
          <w:rFonts w:ascii="Cambria" w:cs="Cambria" w:eastAsia="Cambria" w:hAnsi="Cambria"/>
          <w:color w:val="2E74B5"/>
          <w:sz w:val="26"/>
          <w:szCs w:val="26"/>
        </w:rPr>
        <w:t xml:space="preserve">6.1 Recurso: Recetas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000"/>
        <w:gridCol w:w="3350"/>
      </w:tblGrid>
      <w:tr>
        <w:trPr>
          <w:tblHeader/>
        </w:trPr>
        <w:tc>
          <w:tcPr>
            <w:tcW w:type="dxa" w:w="1200"/>
            <w:shd w:fill="00843D" w:val="clear"/>
            <w:tcMar>
              <w:top w:type="dxa" w:w="100"/>
              <w:left w:type="dxa" w:w="120"/>
              <w:bottom w:type="dxa" w:w="100"/>
              <w:right w:type="dxa" w:w="120"/>
            </w:tcMar>
          </w:tcPr>
          <w:p>
            <w:r>
              <w:rPr>
                <w:rFonts w:ascii="Calibri" w:cs="Calibri" w:eastAsia="Calibri" w:hAnsi="Calibri"/>
                <w:b/>
                <w:bCs/>
                <w:color w:val="FFFFFF"/>
                <w:sz w:val="20"/>
                <w:szCs w:val="20"/>
              </w:rPr>
              <w:t xml:space="preserve">Método</w:t>
            </w:r>
          </w:p>
        </w:tc>
        <w:tc>
          <w:tcPr>
            <w:tcW w:type="dxa" w:w="2800"/>
            <w:shd w:fill="00843D" w:val="clear"/>
            <w:tcMar>
              <w:top w:type="dxa" w:w="100"/>
              <w:left w:type="dxa" w:w="120"/>
              <w:bottom w:type="dxa" w:w="100"/>
              <w:right w:type="dxa" w:w="120"/>
            </w:tcMar>
          </w:tcPr>
          <w:p>
            <w:r>
              <w:rPr>
                <w:rFonts w:ascii="Calibri" w:cs="Calibri" w:eastAsia="Calibri" w:hAnsi="Calibri"/>
                <w:b/>
                <w:bCs/>
                <w:color w:val="FFFFFF"/>
                <w:sz w:val="20"/>
                <w:szCs w:val="20"/>
              </w:rPr>
              <w:t xml:space="preserve">Ruta</w:t>
            </w:r>
          </w:p>
        </w:tc>
        <w:tc>
          <w:tcPr>
            <w:tcW w:type="dxa" w:w="2000"/>
            <w:shd w:fill="00843D" w:val="clear"/>
            <w:tcMar>
              <w:top w:type="dxa" w:w="100"/>
              <w:left w:type="dxa" w:w="120"/>
              <w:bottom w:type="dxa" w:w="100"/>
              <w:right w:type="dxa" w:w="120"/>
            </w:tcMar>
          </w:tcPr>
          <w:p>
            <w:r>
              <w:rPr>
                <w:rFonts w:ascii="Calibri" w:cs="Calibri" w:eastAsia="Calibri" w:hAnsi="Calibri"/>
                <w:b/>
                <w:bCs/>
                <w:color w:val="FFFFFF"/>
                <w:sz w:val="20"/>
                <w:szCs w:val="20"/>
              </w:rPr>
              <w:t xml:space="preserve">Rol requerido</w:t>
            </w:r>
          </w:p>
        </w:tc>
        <w:tc>
          <w:tcPr>
            <w:tcW w:type="dxa" w:w="3350"/>
            <w:shd w:fill="00843D" w:val="clear"/>
            <w:tcMar>
              <w:top w:type="dxa" w:w="100"/>
              <w:left w:type="dxa" w:w="120"/>
              <w:bottom w:type="dxa" w:w="100"/>
              <w:right w:type="dxa" w:w="120"/>
            </w:tcMar>
          </w:tcPr>
          <w:p>
            <w:r>
              <w:rPr>
                <w:rFonts w:ascii="Calibri" w:cs="Calibri" w:eastAsia="Calibri" w:hAnsi="Calibri"/>
                <w:b/>
                <w:bCs/>
                <w:color w:val="FFFFFF"/>
                <w:sz w:val="20"/>
                <w:szCs w:val="20"/>
              </w:rPr>
              <w:t xml:space="preserve">Descripción</w:t>
            </w:r>
          </w:p>
        </w:tc>
      </w:tr>
      <w:tr>
        <w:tc>
          <w:tcPr>
            <w:tcW w:type="dxa" w:w="1200"/>
            <w:tcMar>
              <w:top w:type="dxa" w:w="90"/>
              <w:left w:type="dxa" w:w="120"/>
              <w:bottom w:type="dxa" w:w="90"/>
              <w:right w:type="dxa" w:w="120"/>
            </w:tcMar>
          </w:tcPr>
          <w:p>
            <w:r>
              <w:rPr>
                <w:rFonts w:ascii="Calibri" w:cs="Calibri" w:eastAsia="Calibri" w:hAnsi="Calibri"/>
                <w:sz w:val="20"/>
                <w:szCs w:val="20"/>
              </w:rPr>
              <w:t xml:space="preserve">POST</w:t>
            </w:r>
          </w:p>
        </w:tc>
        <w:tc>
          <w:tcPr>
            <w:tcW w:type="dxa" w:w="2800"/>
            <w:tcMar>
              <w:top w:type="dxa" w:w="90"/>
              <w:left w:type="dxa" w:w="120"/>
              <w:bottom w:type="dxa" w:w="90"/>
              <w:right w:type="dxa" w:w="120"/>
            </w:tcMar>
          </w:tcPr>
          <w:p>
            <w:r>
              <w:rPr>
                <w:rFonts w:ascii="Calibri" w:cs="Calibri" w:eastAsia="Calibri" w:hAnsi="Calibri"/>
                <w:sz w:val="20"/>
                <w:szCs w:val="20"/>
              </w:rPr>
              <w:t xml:space="preserve">/recetas</w:t>
            </w:r>
          </w:p>
        </w:tc>
        <w:tc>
          <w:tcPr>
            <w:tcW w:type="dxa" w:w="2000"/>
            <w:tcMar>
              <w:top w:type="dxa" w:w="90"/>
              <w:left w:type="dxa" w:w="120"/>
              <w:bottom w:type="dxa" w:w="90"/>
              <w:right w:type="dxa" w:w="120"/>
            </w:tcMar>
          </w:tcPr>
          <w:p>
            <w:r>
              <w:rPr>
                <w:rFonts w:ascii="Calibri" w:cs="Calibri" w:eastAsia="Calibri" w:hAnsi="Calibri"/>
                <w:sz w:val="20"/>
                <w:szCs w:val="20"/>
              </w:rPr>
              <w:t xml:space="preserve">Médico</w:t>
            </w:r>
          </w:p>
        </w:tc>
        <w:tc>
          <w:tcPr>
            <w:tcW w:type="dxa" w:w="3350"/>
            <w:tcMar>
              <w:top w:type="dxa" w:w="90"/>
              <w:left w:type="dxa" w:w="120"/>
              <w:bottom w:type="dxa" w:w="90"/>
              <w:right w:type="dxa" w:w="120"/>
            </w:tcMar>
          </w:tcPr>
          <w:p>
            <w:r>
              <w:rPr>
                <w:rFonts w:ascii="Calibri" w:cs="Calibri" w:eastAsia="Calibri" w:hAnsi="Calibri"/>
                <w:sz w:val="20"/>
                <w:szCs w:val="20"/>
              </w:rPr>
              <w:t xml:space="preserve">Crea una nueva receta para un paciente.</w:t>
            </w:r>
          </w:p>
        </w:tc>
      </w:tr>
      <w:tr>
        <w:tc>
          <w:tcPr>
            <w:tcW w:type="dxa" w:w="1200"/>
            <w:tcMar>
              <w:top w:type="dxa" w:w="90"/>
              <w:left w:type="dxa" w:w="120"/>
              <w:bottom w:type="dxa" w:w="90"/>
              <w:right w:type="dxa" w:w="120"/>
            </w:tcMar>
          </w:tcPr>
          <w:p>
            <w:r>
              <w:rPr>
                <w:rFonts w:ascii="Calibri" w:cs="Calibri" w:eastAsia="Calibri" w:hAnsi="Calibri"/>
                <w:sz w:val="20"/>
                <w:szCs w:val="20"/>
              </w:rPr>
              <w:t xml:space="preserve">GET</w:t>
            </w:r>
          </w:p>
        </w:tc>
        <w:tc>
          <w:tcPr>
            <w:tcW w:type="dxa" w:w="2800"/>
            <w:tcMar>
              <w:top w:type="dxa" w:w="90"/>
              <w:left w:type="dxa" w:w="120"/>
              <w:bottom w:type="dxa" w:w="90"/>
              <w:right w:type="dxa" w:w="120"/>
            </w:tcMar>
          </w:tcPr>
          <w:p>
            <w:r>
              <w:rPr>
                <w:rFonts w:ascii="Calibri" w:cs="Calibri" w:eastAsia="Calibri" w:hAnsi="Calibri"/>
                <w:sz w:val="20"/>
                <w:szCs w:val="20"/>
              </w:rPr>
              <w:t xml:space="preserve">/recetas</w:t>
            </w:r>
          </w:p>
        </w:tc>
        <w:tc>
          <w:tcPr>
            <w:tcW w:type="dxa" w:w="2000"/>
            <w:tcMar>
              <w:top w:type="dxa" w:w="90"/>
              <w:left w:type="dxa" w:w="120"/>
              <w:bottom w:type="dxa" w:w="90"/>
              <w:right w:type="dxa" w:w="120"/>
            </w:tcMar>
          </w:tcPr>
          <w:p>
            <w:r>
              <w:rPr>
                <w:rFonts w:ascii="Calibri" w:cs="Calibri" w:eastAsia="Calibri" w:hAnsi="Calibri"/>
                <w:sz w:val="20"/>
                <w:szCs w:val="20"/>
              </w:rPr>
              <w:t xml:space="preserve">Autenticado</w:t>
            </w:r>
          </w:p>
        </w:tc>
        <w:tc>
          <w:tcPr>
            <w:tcW w:type="dxa" w:w="3350"/>
            <w:tcMar>
              <w:top w:type="dxa" w:w="90"/>
              <w:left w:type="dxa" w:w="120"/>
              <w:bottom w:type="dxa" w:w="90"/>
              <w:right w:type="dxa" w:w="120"/>
            </w:tcMar>
          </w:tcPr>
          <w:p>
            <w:r>
              <w:rPr>
                <w:rFonts w:ascii="Calibri" w:cs="Calibri" w:eastAsia="Calibri" w:hAnsi="Calibri"/>
                <w:sz w:val="20"/>
                <w:szCs w:val="20"/>
              </w:rPr>
              <w:t xml:space="preserve">Lista recetas (el médico ve las emitidas, el paciente las recibidas).</w:t>
            </w:r>
          </w:p>
        </w:tc>
      </w:tr>
      <w:tr>
        <w:tc>
          <w:tcPr>
            <w:tcW w:type="dxa" w:w="1200"/>
            <w:tcMar>
              <w:top w:type="dxa" w:w="90"/>
              <w:left w:type="dxa" w:w="120"/>
              <w:bottom w:type="dxa" w:w="90"/>
              <w:right w:type="dxa" w:w="120"/>
            </w:tcMar>
          </w:tcPr>
          <w:p>
            <w:r>
              <w:rPr>
                <w:rFonts w:ascii="Calibri" w:cs="Calibri" w:eastAsia="Calibri" w:hAnsi="Calibri"/>
                <w:sz w:val="20"/>
                <w:szCs w:val="20"/>
              </w:rPr>
              <w:t xml:space="preserve">GET</w:t>
            </w:r>
          </w:p>
        </w:tc>
        <w:tc>
          <w:tcPr>
            <w:tcW w:type="dxa" w:w="2800"/>
            <w:tcMar>
              <w:top w:type="dxa" w:w="90"/>
              <w:left w:type="dxa" w:w="120"/>
              <w:bottom w:type="dxa" w:w="90"/>
              <w:right w:type="dxa" w:w="120"/>
            </w:tcMar>
          </w:tcPr>
          <w:p>
            <w:r>
              <w:rPr>
                <w:rFonts w:ascii="Calibri" w:cs="Calibri" w:eastAsia="Calibri" w:hAnsi="Calibri"/>
                <w:sz w:val="20"/>
                <w:szCs w:val="20"/>
              </w:rPr>
              <w:t xml:space="preserve">/recetas/{id}</w:t>
            </w:r>
          </w:p>
        </w:tc>
        <w:tc>
          <w:tcPr>
            <w:tcW w:type="dxa" w:w="2000"/>
            <w:tcMar>
              <w:top w:type="dxa" w:w="90"/>
              <w:left w:type="dxa" w:w="120"/>
              <w:bottom w:type="dxa" w:w="90"/>
              <w:right w:type="dxa" w:w="120"/>
            </w:tcMar>
          </w:tcPr>
          <w:p>
            <w:r>
              <w:rPr>
                <w:rFonts w:ascii="Calibri" w:cs="Calibri" w:eastAsia="Calibri" w:hAnsi="Calibri"/>
                <w:sz w:val="20"/>
                <w:szCs w:val="20"/>
              </w:rPr>
              <w:t xml:space="preserve">Autenticado</w:t>
            </w:r>
          </w:p>
        </w:tc>
        <w:tc>
          <w:tcPr>
            <w:tcW w:type="dxa" w:w="3350"/>
            <w:tcMar>
              <w:top w:type="dxa" w:w="90"/>
              <w:left w:type="dxa" w:w="120"/>
              <w:bottom w:type="dxa" w:w="90"/>
              <w:right w:type="dxa" w:w="120"/>
            </w:tcMar>
          </w:tcPr>
          <w:p>
            <w:r>
              <w:rPr>
                <w:rFonts w:ascii="Calibri" w:cs="Calibri" w:eastAsia="Calibri" w:hAnsi="Calibri"/>
                <w:sz w:val="20"/>
                <w:szCs w:val="20"/>
              </w:rPr>
              <w:t xml:space="preserve">Obtiene el detalle de una receta, validando propiedad.</w:t>
            </w:r>
          </w:p>
        </w:tc>
      </w:tr>
      <w:tr>
        <w:tc>
          <w:tcPr>
            <w:tcW w:type="dxa" w:w="1200"/>
            <w:tcMar>
              <w:top w:type="dxa" w:w="90"/>
              <w:left w:type="dxa" w:w="120"/>
              <w:bottom w:type="dxa" w:w="90"/>
              <w:right w:type="dxa" w:w="120"/>
            </w:tcMar>
          </w:tcPr>
          <w:p>
            <w:r>
              <w:rPr>
                <w:rFonts w:ascii="Calibri" w:cs="Calibri" w:eastAsia="Calibri" w:hAnsi="Calibri"/>
                <w:sz w:val="20"/>
                <w:szCs w:val="20"/>
              </w:rPr>
              <w:t xml:space="preserve">DELETE</w:t>
            </w:r>
          </w:p>
        </w:tc>
        <w:tc>
          <w:tcPr>
            <w:tcW w:type="dxa" w:w="2800"/>
            <w:tcMar>
              <w:top w:type="dxa" w:w="90"/>
              <w:left w:type="dxa" w:w="120"/>
              <w:bottom w:type="dxa" w:w="90"/>
              <w:right w:type="dxa" w:w="120"/>
            </w:tcMar>
          </w:tcPr>
          <w:p>
            <w:r>
              <w:rPr>
                <w:rFonts w:ascii="Calibri" w:cs="Calibri" w:eastAsia="Calibri" w:hAnsi="Calibri"/>
                <w:sz w:val="20"/>
                <w:szCs w:val="20"/>
              </w:rPr>
              <w:t xml:space="preserve">/recetas/{id}</w:t>
            </w:r>
          </w:p>
        </w:tc>
        <w:tc>
          <w:tcPr>
            <w:tcW w:type="dxa" w:w="2000"/>
            <w:tcMar>
              <w:top w:type="dxa" w:w="90"/>
              <w:left w:type="dxa" w:w="120"/>
              <w:bottom w:type="dxa" w:w="90"/>
              <w:right w:type="dxa" w:w="120"/>
            </w:tcMar>
          </w:tcPr>
          <w:p>
            <w:r>
              <w:rPr>
                <w:rFonts w:ascii="Calibri" w:cs="Calibri" w:eastAsia="Calibri" w:hAnsi="Calibri"/>
                <w:sz w:val="20"/>
                <w:szCs w:val="20"/>
              </w:rPr>
              <w:t xml:space="preserve">Médico</w:t>
            </w:r>
          </w:p>
        </w:tc>
        <w:tc>
          <w:tcPr>
            <w:tcW w:type="dxa" w:w="3350"/>
            <w:tcMar>
              <w:top w:type="dxa" w:w="90"/>
              <w:left w:type="dxa" w:w="120"/>
              <w:bottom w:type="dxa" w:w="90"/>
              <w:right w:type="dxa" w:w="120"/>
            </w:tcMar>
          </w:tcPr>
          <w:p>
            <w:r>
              <w:rPr>
                <w:rFonts w:ascii="Calibri" w:cs="Calibri" w:eastAsia="Calibri" w:hAnsi="Calibri"/>
                <w:sz w:val="20"/>
                <w:szCs w:val="20"/>
              </w:rPr>
              <w:t xml:space="preserve">Cancela una receta emitida.</w:t>
            </w:r>
          </w:p>
        </w:tc>
      </w:tr>
    </w:tbl>
    <w:p>
      <w:pPr>
        <w:spacing w:after="160" w:line="276"/>
        <w:jc w:val="both"/>
      </w:pPr>
      <w:r>
        <w:rPr>
          <w:rFonts w:ascii="Calibri" w:cs="Calibri" w:eastAsia="Calibri" w:hAnsi="Calibri"/>
          <w:sz w:val="22"/>
          <w:szCs w:val="22"/>
        </w:rPr>
        <w:t xml:space="preserve">Ejemplo de petición POST /recetas:</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rPr>
          <w:cantSplit/>
        </w:trPr>
        <w:tc>
          <w:tcPr>
            <w:tcW w:type="dxa" w:w="9350"/>
            <w:shd w:fill="F2F2F2" w:val="clear"/>
            <w:tcMar>
              <w:top w:type="dxa" w:w="140"/>
              <w:left w:type="dxa" w:w="180"/>
              <w:bottom w:type="dxa" w:w="140"/>
              <w:right w:type="dxa" w:w="180"/>
            </w:tcMar>
          </w:tcPr>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"usuario_id": 5,</w:t>
            </w:r>
          </w:p>
          <w:p>
            <w:pPr>
              <w:spacing w:after="20"/>
            </w:pPr>
            <w:r>
              <w:rPr>
                <w:rFonts w:ascii="Consolas" w:cs="Consolas" w:eastAsia="Consolas" w:hAnsi="Consolas"/>
                <w:sz w:val="18"/>
                <w:szCs w:val="18"/>
              </w:rPr>
              <w:t xml:space="preserve">  "tipo_enfermedad_id": 1,</w:t>
            </w:r>
          </w:p>
          <w:p>
            <w:pPr>
              <w:spacing w:after="20"/>
            </w:pPr>
            <w:r>
              <w:rPr>
                <w:rFonts w:ascii="Consolas" w:cs="Consolas" w:eastAsia="Consolas" w:hAnsi="Consolas"/>
                <w:sz w:val="18"/>
                <w:szCs w:val="18"/>
              </w:rPr>
              <w:t xml:space="preserve">  "medicamentos":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"nombre": "Salbutamol",</w:t>
            </w:r>
          </w:p>
          <w:p>
            <w:pPr>
              <w:spacing w:after="20"/>
            </w:pPr>
            <w:r>
              <w:rPr>
                <w:rFonts w:ascii="Consolas" w:cs="Consolas" w:eastAsia="Consolas" w:hAnsi="Consolas"/>
                <w:sz w:val="18"/>
                <w:szCs w:val="18"/>
              </w:rPr>
              <w:t xml:space="preserve">      "dosis": "100mcg",</w:t>
            </w:r>
          </w:p>
          <w:p>
            <w:pPr>
              <w:spacing w:after="20"/>
            </w:pPr>
            <w:r>
              <w:rPr>
                <w:rFonts w:ascii="Consolas" w:cs="Consolas" w:eastAsia="Consolas" w:hAnsi="Consolas"/>
                <w:sz w:val="18"/>
                <w:szCs w:val="18"/>
              </w:rPr>
              <w:t xml:space="preserve">      "frecuencia": "Cada 4-6 horas segun sea necesario"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"indicaciones": "Usar inhalador de emergencia al primer sintoma.",</w:t>
            </w:r>
          </w:p>
          <w:p>
            <w:pPr>
              <w:spacing w:after="20"/>
            </w:pPr>
            <w:r>
              <w:rPr>
                <w:rFonts w:ascii="Consolas" w:cs="Consolas" w:eastAsia="Consolas" w:hAnsi="Consolas"/>
                <w:sz w:val="18"/>
                <w:szCs w:val="18"/>
              </w:rPr>
              <w:t xml:space="preserve">  "es_videollamada": true,</w:t>
            </w:r>
          </w:p>
          <w:p>
            <w:pPr>
              <w:spacing w:after="20"/>
            </w:pPr>
            <w:r>
              <w:rPr>
                <w:rFonts w:ascii="Consolas" w:cs="Consolas" w:eastAsia="Consolas" w:hAnsi="Consolas"/>
                <w:sz w:val="18"/>
                <w:szCs w:val="18"/>
              </w:rPr>
              <w:t xml:space="preserve">  "url_videollamada": "https://medicore.daily.co/room_a1b2c3d4e5f6g7h8"</w:t>
            </w:r>
          </w:p>
          <w:p>
            <w:pPr>
              <w:spacing w:after="20"/>
            </w:pPr>
            <w:r>
              <w:rPr>
                <w:rFonts w:ascii="Consolas" w:cs="Consolas" w:eastAsia="Consolas" w:hAnsi="Consolas"/>
                <w:sz w:val="18"/>
                <w:szCs w:val="18"/>
              </w:rPr>
              <w:t xml:space="preserve">}</w:t>
            </w:r>
          </w:p>
        </w:tc>
      </w:tr>
    </w:tbl>
    <w:p>
      <w:pPr>
        <w:spacing w:after="260" w:before="100"/>
        <w:jc w:val="center"/>
      </w:pPr>
      <w:r>
        <w:rPr>
          <w:rFonts w:ascii="Calibri" w:cs="Calibri" w:eastAsia="Calibri" w:hAnsi="Calibri"/>
          <w:i/>
          <w:iCs/>
          <w:color w:val="595959"/>
          <w:sz w:val="18"/>
          <w:szCs w:val="18"/>
        </w:rPr>
        <w:t xml:space="preserve">Figura 10. Cuerpo de petición para crear una receta.</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rPr>
          <w:cantSplit/>
        </w:trPr>
        <w:tc>
          <w:tcPr>
            <w:tcW w:type="dxa" w:w="9350"/>
            <w:shd w:fill="F2F2F2" w:val="clear"/>
            <w:tcMar>
              <w:top w:type="dxa" w:w="140"/>
              <w:left w:type="dxa" w:w="180"/>
              <w:bottom w:type="dxa" w:w="140"/>
              <w:right w:type="dxa" w:w="180"/>
            </w:tcMar>
          </w:tcPr>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"mensaje": "Receta creada",</w:t>
            </w:r>
          </w:p>
          <w:p>
            <w:pPr>
              <w:spacing w:after="20"/>
            </w:pPr>
            <w:r>
              <w:rPr>
                <w:rFonts w:ascii="Consolas" w:cs="Consolas" w:eastAsia="Consolas" w:hAnsi="Consolas"/>
                <w:sz w:val="18"/>
                <w:szCs w:val="18"/>
              </w:rPr>
              <w:t xml:space="preserve">  "id": 42,</w:t>
            </w:r>
          </w:p>
          <w:p>
            <w:pPr>
              <w:spacing w:after="20"/>
            </w:pPr>
            <w:r>
              <w:rPr>
                <w:rFonts w:ascii="Consolas" w:cs="Consolas" w:eastAsia="Consolas" w:hAnsi="Consolas"/>
                <w:sz w:val="18"/>
                <w:szCs w:val="18"/>
              </w:rPr>
              <w:t xml:space="preserve">  "vencimiento": "2026-08-05"</w:t>
            </w:r>
          </w:p>
          <w:p>
            <w:pPr>
              <w:spacing w:after="20"/>
            </w:pPr>
            <w:r>
              <w:rPr>
                <w:rFonts w:ascii="Consolas" w:cs="Consolas" w:eastAsia="Consolas" w:hAnsi="Consolas"/>
                <w:sz w:val="18"/>
                <w:szCs w:val="18"/>
              </w:rPr>
              <w:t xml:space="preserve">}</w:t>
            </w:r>
          </w:p>
        </w:tc>
      </w:tr>
    </w:tbl>
    <w:p>
      <w:pPr>
        <w:spacing w:after="260" w:before="100"/>
        <w:jc w:val="center"/>
      </w:pPr>
      <w:r>
        <w:rPr>
          <w:rFonts w:ascii="Calibri" w:cs="Calibri" w:eastAsia="Calibri" w:hAnsi="Calibri"/>
          <w:i/>
          <w:iCs/>
          <w:color w:val="595959"/>
          <w:sz w:val="18"/>
          <w:szCs w:val="18"/>
        </w:rPr>
        <w:t xml:space="preserve">Figura 11. Respuesta del servidor al crear una receta.</w:t>
      </w:r>
    </w:p>
    <w:p>
      <w:pPr>
        <w:pStyle w:val="Heading2"/>
        <w:spacing w:after="160" w:before="260"/>
      </w:pPr>
      <w:r>
        <w:rPr>
          <w:rFonts w:ascii="Cambria" w:cs="Cambria" w:eastAsia="Cambria" w:hAnsi="Cambria"/>
          <w:color w:val="2E74B5"/>
          <w:sz w:val="26"/>
          <w:szCs w:val="26"/>
        </w:rPr>
        <w:t xml:space="preserve">6.2 Recurso: Videollamadas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000"/>
        <w:gridCol w:w="3350"/>
      </w:tblGrid>
      <w:tr>
        <w:trPr>
          <w:tblHeader/>
        </w:trPr>
        <w:tc>
          <w:tcPr>
            <w:tcW w:type="dxa" w:w="1200"/>
            <w:shd w:fill="00843D" w:val="clear"/>
            <w:tcMar>
              <w:top w:type="dxa" w:w="100"/>
              <w:left w:type="dxa" w:w="120"/>
              <w:bottom w:type="dxa" w:w="100"/>
              <w:right w:type="dxa" w:w="120"/>
            </w:tcMar>
          </w:tcPr>
          <w:p>
            <w:r>
              <w:rPr>
                <w:rFonts w:ascii="Calibri" w:cs="Calibri" w:eastAsia="Calibri" w:hAnsi="Calibri"/>
                <w:b/>
                <w:bCs/>
                <w:color w:val="FFFFFF"/>
                <w:sz w:val="20"/>
                <w:szCs w:val="20"/>
              </w:rPr>
              <w:t xml:space="preserve">Método</w:t>
            </w:r>
          </w:p>
        </w:tc>
        <w:tc>
          <w:tcPr>
            <w:tcW w:type="dxa" w:w="2800"/>
            <w:shd w:fill="00843D" w:val="clear"/>
            <w:tcMar>
              <w:top w:type="dxa" w:w="100"/>
              <w:left w:type="dxa" w:w="120"/>
              <w:bottom w:type="dxa" w:w="100"/>
              <w:right w:type="dxa" w:w="120"/>
            </w:tcMar>
          </w:tcPr>
          <w:p>
            <w:r>
              <w:rPr>
                <w:rFonts w:ascii="Calibri" w:cs="Calibri" w:eastAsia="Calibri" w:hAnsi="Calibri"/>
                <w:b/>
                <w:bCs/>
                <w:color w:val="FFFFFF"/>
                <w:sz w:val="20"/>
                <w:szCs w:val="20"/>
              </w:rPr>
              <w:t xml:space="preserve">Ruta</w:t>
            </w:r>
          </w:p>
        </w:tc>
        <w:tc>
          <w:tcPr>
            <w:tcW w:type="dxa" w:w="2000"/>
            <w:shd w:fill="00843D" w:val="clear"/>
            <w:tcMar>
              <w:top w:type="dxa" w:w="100"/>
              <w:left w:type="dxa" w:w="120"/>
              <w:bottom w:type="dxa" w:w="100"/>
              <w:right w:type="dxa" w:w="120"/>
            </w:tcMar>
          </w:tcPr>
          <w:p>
            <w:r>
              <w:rPr>
                <w:rFonts w:ascii="Calibri" w:cs="Calibri" w:eastAsia="Calibri" w:hAnsi="Calibri"/>
                <w:b/>
                <w:bCs/>
                <w:color w:val="FFFFFF"/>
                <w:sz w:val="20"/>
                <w:szCs w:val="20"/>
              </w:rPr>
              <w:t xml:space="preserve">Rol requerido</w:t>
            </w:r>
          </w:p>
        </w:tc>
        <w:tc>
          <w:tcPr>
            <w:tcW w:type="dxa" w:w="3350"/>
            <w:shd w:fill="00843D" w:val="clear"/>
            <w:tcMar>
              <w:top w:type="dxa" w:w="100"/>
              <w:left w:type="dxa" w:w="120"/>
              <w:bottom w:type="dxa" w:w="100"/>
              <w:right w:type="dxa" w:w="120"/>
            </w:tcMar>
          </w:tcPr>
          <w:p>
            <w:r>
              <w:rPr>
                <w:rFonts w:ascii="Calibri" w:cs="Calibri" w:eastAsia="Calibri" w:hAnsi="Calibri"/>
                <w:b/>
                <w:bCs/>
                <w:color w:val="FFFFFF"/>
                <w:sz w:val="20"/>
                <w:szCs w:val="20"/>
              </w:rPr>
              <w:t xml:space="preserve">Descripción</w:t>
            </w:r>
          </w:p>
        </w:tc>
      </w:tr>
      <w:tr>
        <w:tc>
          <w:tcPr>
            <w:tcW w:type="dxa" w:w="1200"/>
            <w:tcMar>
              <w:top w:type="dxa" w:w="90"/>
              <w:left w:type="dxa" w:w="120"/>
              <w:bottom w:type="dxa" w:w="90"/>
              <w:right w:type="dxa" w:w="120"/>
            </w:tcMar>
          </w:tcPr>
          <w:p>
            <w:r>
              <w:rPr>
                <w:rFonts w:ascii="Calibri" w:cs="Calibri" w:eastAsia="Calibri" w:hAnsi="Calibri"/>
                <w:sz w:val="20"/>
                <w:szCs w:val="20"/>
              </w:rPr>
              <w:t xml:space="preserve">POST</w:t>
            </w:r>
          </w:p>
        </w:tc>
        <w:tc>
          <w:tcPr>
            <w:tcW w:type="dxa" w:w="2800"/>
            <w:tcMar>
              <w:top w:type="dxa" w:w="90"/>
              <w:left w:type="dxa" w:w="120"/>
              <w:bottom w:type="dxa" w:w="90"/>
              <w:right w:type="dxa" w:w="120"/>
            </w:tcMar>
          </w:tcPr>
          <w:p>
            <w:r>
              <w:rPr>
                <w:rFonts w:ascii="Calibri" w:cs="Calibri" w:eastAsia="Calibri" w:hAnsi="Calibri"/>
                <w:sz w:val="20"/>
                <w:szCs w:val="20"/>
              </w:rPr>
              <w:t xml:space="preserve">/videollamadas</w:t>
            </w:r>
          </w:p>
        </w:tc>
        <w:tc>
          <w:tcPr>
            <w:tcW w:type="dxa" w:w="2000"/>
            <w:tcMar>
              <w:top w:type="dxa" w:w="90"/>
              <w:left w:type="dxa" w:w="120"/>
              <w:bottom w:type="dxa" w:w="90"/>
              <w:right w:type="dxa" w:w="120"/>
            </w:tcMar>
          </w:tcPr>
          <w:p>
            <w:r>
              <w:rPr>
                <w:rFonts w:ascii="Calibri" w:cs="Calibri" w:eastAsia="Calibri" w:hAnsi="Calibri"/>
                <w:sz w:val="20"/>
                <w:szCs w:val="20"/>
              </w:rPr>
              <w:t xml:space="preserve">Médico</w:t>
            </w:r>
          </w:p>
        </w:tc>
        <w:tc>
          <w:tcPr>
            <w:tcW w:type="dxa" w:w="3350"/>
            <w:tcMar>
              <w:top w:type="dxa" w:w="90"/>
              <w:left w:type="dxa" w:w="120"/>
              <w:bottom w:type="dxa" w:w="90"/>
              <w:right w:type="dxa" w:w="120"/>
            </w:tcMar>
          </w:tcPr>
          <w:p>
            <w:r>
              <w:rPr>
                <w:rFonts w:ascii="Calibri" w:cs="Calibri" w:eastAsia="Calibri" w:hAnsi="Calibri"/>
                <w:sz w:val="20"/>
                <w:szCs w:val="20"/>
              </w:rPr>
              <w:t xml:space="preserve">Programa una nueva sesión de videollamada.</w:t>
            </w:r>
          </w:p>
        </w:tc>
      </w:tr>
      <w:tr>
        <w:tc>
          <w:tcPr>
            <w:tcW w:type="dxa" w:w="1200"/>
            <w:tcMar>
              <w:top w:type="dxa" w:w="90"/>
              <w:left w:type="dxa" w:w="120"/>
              <w:bottom w:type="dxa" w:w="90"/>
              <w:right w:type="dxa" w:w="120"/>
            </w:tcMar>
          </w:tcPr>
          <w:p>
            <w:r>
              <w:rPr>
                <w:rFonts w:ascii="Calibri" w:cs="Calibri" w:eastAsia="Calibri" w:hAnsi="Calibri"/>
                <w:sz w:val="20"/>
                <w:szCs w:val="20"/>
              </w:rPr>
              <w:t xml:space="preserve">GET</w:t>
            </w:r>
          </w:p>
        </w:tc>
        <w:tc>
          <w:tcPr>
            <w:tcW w:type="dxa" w:w="2800"/>
            <w:tcMar>
              <w:top w:type="dxa" w:w="90"/>
              <w:left w:type="dxa" w:w="120"/>
              <w:bottom w:type="dxa" w:w="90"/>
              <w:right w:type="dxa" w:w="120"/>
            </w:tcMar>
          </w:tcPr>
          <w:p>
            <w:r>
              <w:rPr>
                <w:rFonts w:ascii="Calibri" w:cs="Calibri" w:eastAsia="Calibri" w:hAnsi="Calibri"/>
                <w:sz w:val="20"/>
                <w:szCs w:val="20"/>
              </w:rPr>
              <w:t xml:space="preserve">/videollamadas</w:t>
            </w:r>
          </w:p>
        </w:tc>
        <w:tc>
          <w:tcPr>
            <w:tcW w:type="dxa" w:w="2000"/>
            <w:tcMar>
              <w:top w:type="dxa" w:w="90"/>
              <w:left w:type="dxa" w:w="120"/>
              <w:bottom w:type="dxa" w:w="90"/>
              <w:right w:type="dxa" w:w="120"/>
            </w:tcMar>
          </w:tcPr>
          <w:p>
            <w:r>
              <w:rPr>
                <w:rFonts w:ascii="Calibri" w:cs="Calibri" w:eastAsia="Calibri" w:hAnsi="Calibri"/>
                <w:sz w:val="20"/>
                <w:szCs w:val="20"/>
              </w:rPr>
              <w:t xml:space="preserve">Autenticado</w:t>
            </w:r>
          </w:p>
        </w:tc>
        <w:tc>
          <w:tcPr>
            <w:tcW w:type="dxa" w:w="3350"/>
            <w:tcMar>
              <w:top w:type="dxa" w:w="90"/>
              <w:left w:type="dxa" w:w="120"/>
              <w:bottom w:type="dxa" w:w="90"/>
              <w:right w:type="dxa" w:w="120"/>
            </w:tcMar>
          </w:tcPr>
          <w:p>
            <w:r>
              <w:rPr>
                <w:rFonts w:ascii="Calibri" w:cs="Calibri" w:eastAsia="Calibri" w:hAnsi="Calibri"/>
                <w:sz w:val="20"/>
                <w:szCs w:val="20"/>
              </w:rPr>
              <w:t xml:space="preserve">Lista las videollamadas del usuario.</w:t>
            </w:r>
          </w:p>
        </w:tc>
      </w:tr>
      <w:tr>
        <w:tc>
          <w:tcPr>
            <w:tcW w:type="dxa" w:w="1200"/>
            <w:tcMar>
              <w:top w:type="dxa" w:w="90"/>
              <w:left w:type="dxa" w:w="120"/>
              <w:bottom w:type="dxa" w:w="90"/>
              <w:right w:type="dxa" w:w="120"/>
            </w:tcMar>
          </w:tcPr>
          <w:p>
            <w:r>
              <w:rPr>
                <w:rFonts w:ascii="Calibri" w:cs="Calibri" w:eastAsia="Calibri" w:hAnsi="Calibri"/>
                <w:sz w:val="20"/>
                <w:szCs w:val="20"/>
              </w:rPr>
              <w:t xml:space="preserve">PUT</w:t>
            </w:r>
          </w:p>
        </w:tc>
        <w:tc>
          <w:tcPr>
            <w:tcW w:type="dxa" w:w="2800"/>
            <w:tcMar>
              <w:top w:type="dxa" w:w="90"/>
              <w:left w:type="dxa" w:w="120"/>
              <w:bottom w:type="dxa" w:w="90"/>
              <w:right w:type="dxa" w:w="120"/>
            </w:tcMar>
          </w:tcPr>
          <w:p>
            <w:r>
              <w:rPr>
                <w:rFonts w:ascii="Calibri" w:cs="Calibri" w:eastAsia="Calibri" w:hAnsi="Calibri"/>
                <w:sz w:val="20"/>
                <w:szCs w:val="20"/>
              </w:rPr>
              <w:t xml:space="preserve">/videollamadas/{id}</w:t>
            </w:r>
          </w:p>
        </w:tc>
        <w:tc>
          <w:tcPr>
            <w:tcW w:type="dxa" w:w="2000"/>
            <w:tcMar>
              <w:top w:type="dxa" w:w="90"/>
              <w:left w:type="dxa" w:w="120"/>
              <w:bottom w:type="dxa" w:w="90"/>
              <w:right w:type="dxa" w:w="120"/>
            </w:tcMar>
          </w:tcPr>
          <w:p>
            <w:r>
              <w:rPr>
                <w:rFonts w:ascii="Calibri" w:cs="Calibri" w:eastAsia="Calibri" w:hAnsi="Calibri"/>
                <w:sz w:val="20"/>
                <w:szCs w:val="20"/>
              </w:rPr>
              <w:t xml:space="preserve">Autenticado</w:t>
            </w:r>
          </w:p>
        </w:tc>
        <w:tc>
          <w:tcPr>
            <w:tcW w:type="dxa" w:w="3350"/>
            <w:tcMar>
              <w:top w:type="dxa" w:w="90"/>
              <w:left w:type="dxa" w:w="120"/>
              <w:bottom w:type="dxa" w:w="90"/>
              <w:right w:type="dxa" w:w="120"/>
            </w:tcMar>
          </w:tcPr>
          <w:p>
            <w:r>
              <w:rPr>
                <w:rFonts w:ascii="Calibri" w:cs="Calibri" w:eastAsia="Calibri" w:hAnsi="Calibri"/>
                <w:sz w:val="20"/>
                <w:szCs w:val="20"/>
              </w:rPr>
              <w:t xml:space="preserve">Actualiza el estado de una sesión (p. ej. 'finalizada').</w:t>
            </w:r>
          </w:p>
        </w:tc>
      </w:tr>
    </w:tbl>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rPr>
          <w:cantSplit/>
        </w:trPr>
        <w:tc>
          <w:tcPr>
            <w:tcW w:type="dxa" w:w="9350"/>
            <w:shd w:fill="F2F2F2" w:val="clear"/>
            <w:tcMar>
              <w:top w:type="dxa" w:w="140"/>
              <w:left w:type="dxa" w:w="180"/>
              <w:bottom w:type="dxa" w:w="140"/>
              <w:right w:type="dxa" w:w="180"/>
            </w:tcMar>
          </w:tcPr>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"id": 15,</w:t>
            </w:r>
          </w:p>
          <w:p>
            <w:pPr>
              <w:spacing w:after="20"/>
            </w:pPr>
            <w:r>
              <w:rPr>
                <w:rFonts w:ascii="Consolas" w:cs="Consolas" w:eastAsia="Consolas" w:hAnsi="Consolas"/>
                <w:sz w:val="18"/>
                <w:szCs w:val="18"/>
              </w:rPr>
              <w:t xml:space="preserve">  "room_id": "room_f9a8b7c6d5e4f3a2",</w:t>
            </w:r>
          </w:p>
          <w:p>
            <w:pPr>
              <w:spacing w:after="20"/>
            </w:pPr>
            <w:r>
              <w:rPr>
                <w:rFonts w:ascii="Consolas" w:cs="Consolas" w:eastAsia="Consolas" w:hAnsi="Consolas"/>
                <w:sz w:val="18"/>
                <w:szCs w:val="18"/>
              </w:rPr>
              <w:t xml:space="preserve">  "url_sala": "https://medicore.daily.co/room_f9a8b7c6d5e4f3a2"</w:t>
            </w:r>
          </w:p>
          <w:p>
            <w:pPr>
              <w:spacing w:after="20"/>
            </w:pPr>
            <w:r>
              <w:rPr>
                <w:rFonts w:ascii="Consolas" w:cs="Consolas" w:eastAsia="Consolas" w:hAnsi="Consolas"/>
                <w:sz w:val="18"/>
                <w:szCs w:val="18"/>
              </w:rPr>
              <w:t xml:space="preserve">}</w:t>
            </w:r>
          </w:p>
        </w:tc>
      </w:tr>
    </w:tbl>
    <w:p>
      <w:pPr>
        <w:spacing w:after="260" w:before="100"/>
        <w:jc w:val="center"/>
      </w:pPr>
      <w:r>
        <w:rPr>
          <w:rFonts w:ascii="Calibri" w:cs="Calibri" w:eastAsia="Calibri" w:hAnsi="Calibri"/>
          <w:i/>
          <w:iCs/>
          <w:color w:val="595959"/>
          <w:sz w:val="18"/>
          <w:szCs w:val="18"/>
        </w:rPr>
        <w:t xml:space="preserve">Figura 12. Respuesta del endpoint POST /videollamadas.</w:t>
      </w:r>
    </w:p>
    <w:p>
      <w:pPr>
        <w:pStyle w:val="Heading2"/>
        <w:spacing w:after="160" w:before="260"/>
      </w:pPr>
      <w:r>
        <w:rPr>
          <w:rFonts w:ascii="Cambria" w:cs="Cambria" w:eastAsia="Cambria" w:hAnsi="Cambria"/>
          <w:color w:val="2E74B5"/>
          <w:sz w:val="26"/>
          <w:szCs w:val="26"/>
        </w:rPr>
        <w:t xml:space="preserve">6.3 Recursos adicionales</w:t>
      </w:r>
    </w:p>
    <w:p>
      <w:pPr>
        <w:pStyle w:val="ListParagraph"/>
        <w:numPr>
          <w:ilvl w:val="0"/>
          <w:numId w:val="3"/>
        </w:numPr>
        <w:spacing w:after="100"/>
      </w:pPr>
      <w:r>
        <w:rPr>
          <w:rFonts w:ascii="Calibri" w:cs="Calibri" w:eastAsia="Calibri" w:hAnsi="Calibri"/>
          <w:sz w:val="22"/>
          <w:szCs w:val="22"/>
        </w:rPr>
        <w:t xml:space="preserve">Enfermedades (/enfermedades): CRUD completo (GET, POST, PUT, DELETE) para administradores y médicos.</w:t>
      </w:r>
    </w:p>
    <w:p>
      <w:pPr>
        <w:pStyle w:val="ListParagraph"/>
        <w:numPr>
          <w:ilvl w:val="0"/>
          <w:numId w:val="3"/>
        </w:numPr>
        <w:spacing w:after="100"/>
      </w:pPr>
      <w:r>
        <w:rPr>
          <w:rFonts w:ascii="Calibri" w:cs="Calibri" w:eastAsia="Calibri" w:hAnsi="Calibri"/>
          <w:sz w:val="22"/>
          <w:szCs w:val="22"/>
        </w:rPr>
        <w:t xml:space="preserve">Clima (/clima/recomendaciones): GET para obtener recomendaciones según ubicación y enfermedad del paciente.</w:t>
      </w:r>
    </w:p>
    <w:p>
      <w:pPr>
        <w:pStyle w:val="ListParagraph"/>
        <w:numPr>
          <w:ilvl w:val="0"/>
          <w:numId w:val="3"/>
        </w:numPr>
        <w:spacing w:after="100"/>
      </w:pPr>
      <w:r>
        <w:rPr>
          <w:rFonts w:ascii="Calibri" w:cs="Calibri" w:eastAsia="Calibri" w:hAnsi="Calibri"/>
          <w:sz w:val="22"/>
          <w:szCs w:val="22"/>
        </w:rPr>
        <w:t xml:space="preserve">Ubicaciones (/ubicaciones): GET para encontrar clínicas cercanas a partir de latitud y longitud.</w:t>
      </w:r>
    </w:p>
    <w:p>
      <w:pPr>
        <w:pStyle w:val="Heading1"/>
        <w:spacing w:after="200" w:before="320"/>
      </w:pPr>
      <w:r>
        <w:rPr>
          <w:rFonts w:ascii="Cambria" w:cs="Cambria" w:eastAsia="Cambria" w:hAnsi="Cambria"/>
          <w:color w:val="1F4E79"/>
          <w:sz w:val="32"/>
          <w:szCs w:val="32"/>
        </w:rPr>
        <w:t xml:space="preserve">7. Ampliación del Equipo: Integraciones Adicionales, Certificaciones y Buenas Prácticas de Seguridad</w:t>
      </w:r>
    </w:p>
    <w:p>
      <w:pPr>
        <w:spacing w:after="160" w:line="276"/>
        <w:jc w:val="both"/>
      </w:pPr>
      <w:r>
        <w:rPr>
          <w:rFonts w:ascii="Calibri" w:cs="Calibri" w:eastAsia="Calibri" w:hAnsi="Calibri"/>
          <w:sz w:val="22"/>
          <w:szCs w:val="22"/>
        </w:rPr>
        <w:t xml:space="preserve">Como complemento a los mecanismos de seguridad y web services documentados en las secciones 4, 5 y 6, el integrante Alejandro Pérez Alcántara desarrolló e integró de forma real (no simulada) un conjunto adicional de cuatro APIs de terceros, cuatro módulos clínicos nuevos, un aviso de privacidad conforme a la LFPDPPP, una autoevaluación OWASP ASVS y la habilitación de HTTPS en el entorno local, ampliando la cobertura de certificaciones y evidencias del proyecto MediCore. A diferencia del esquema de autenticación sin estado (JWT) documentado en la sección 4.2, esta ampliación se apoya en el esquema de sesiones seguras de PHP ya utilizado desde el Producto 1 (RBAC + sesiones), por lo que ambos enfoques conviven en el proyecto como evidencia de dos estrategias de autenticación válidas: JWT para los endpoints REST propios de la sección 6, y sesiones seguras para el panel administrativo web tradicional.</w:t>
      </w:r>
    </w:p>
    <w:p>
      <w:pPr>
        <w:pStyle w:val="Heading2"/>
        <w:spacing w:after="160" w:before="260"/>
      </w:pPr>
      <w:r>
        <w:rPr>
          <w:rFonts w:ascii="Cambria" w:cs="Cambria" w:eastAsia="Cambria" w:hAnsi="Cambria"/>
          <w:color w:val="2E74B5"/>
          <w:sz w:val="26"/>
          <w:szCs w:val="26"/>
        </w:rPr>
        <w:t xml:space="preserve">7.1 Autenticación institucional con Google OAuth 2.0</w:t>
      </w:r>
    </w:p>
    <w:p>
      <w:pPr>
        <w:spacing w:after="160" w:line="276"/>
        <w:jc w:val="both"/>
      </w:pPr>
      <w:r>
        <w:rPr>
          <w:rFonts w:ascii="Calibri" w:cs="Calibri" w:eastAsia="Calibri" w:hAnsi="Calibri"/>
          <w:sz w:val="22"/>
          <w:szCs w:val="22"/>
        </w:rPr>
        <w:t xml:space="preserve">Se integró el flujo de Authorization Code de Google OAuth 2.0 para permitir a los médicos iniciar sesión con su cuenta institucional de Google, sin depender exclusivamente de su contraseña local. La integración solo autentica correos que ya existen en la tabla medicos (no registra cuentas nuevas automáticamente), preservando el control de acceso RBAC del sistema, y protege el flujo con un parámetro state anti-CSRF validado con hash_equals():</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rPr>
          <w:cantSplit/>
        </w:trPr>
        <w:tc>
          <w:tcPr>
            <w:tcW w:type="dxa" w:w="9350"/>
            <w:shd w:fill="F2F2F2" w:val="clear"/>
            <w:tcMar>
              <w:top w:type="dxa" w:w="140"/>
              <w:left w:type="dxa" w:w="180"/>
              <w:bottom w:type="dxa" w:w="140"/>
              <w:right w:type="dxa" w:w="180"/>
            </w:tcMar>
          </w:tcPr>
          <w:p>
            <w:pPr>
              <w:spacing w:after="20"/>
            </w:pPr>
            <w:r>
              <w:rPr>
                <w:rFonts w:ascii="Consolas" w:cs="Consolas" w:eastAsia="Consolas" w:hAnsi="Consolas"/>
                <w:sz w:val="18"/>
                <w:szCs w:val="18"/>
              </w:rPr>
              <w:t xml:space="preserve">function construirUrlAutorizacionGoogle($incluirCalendar = false) {</w:t>
            </w:r>
          </w:p>
          <w:p>
            <w:pPr>
              <w:spacing w:after="20"/>
            </w:pPr>
            <w:r>
              <w:rPr>
                <w:rFonts w:ascii="Consolas" w:cs="Consolas" w:eastAsia="Consolas" w:hAnsi="Consolas"/>
                <w:sz w:val="18"/>
                <w:szCs w:val="18"/>
              </w:rPr>
              <w:t xml:space="preserve">    $scopes = ['openid', 'email', 'profile'];</w:t>
            </w:r>
          </w:p>
          <w:p>
            <w:pPr>
              <w:spacing w:after="20"/>
            </w:pPr>
            <w:r>
              <w:rPr>
                <w:rFonts w:ascii="Consolas" w:cs="Consolas" w:eastAsia="Consolas" w:hAnsi="Consolas"/>
                <w:sz w:val="18"/>
                <w:szCs w:val="18"/>
              </w:rPr>
              <w:t xml:space="preserve">    if ($incluirCalendar) { $scopes[] = 'https://www.googleapis.com/auth/calendar.events'; }</w:t>
            </w:r>
          </w:p>
          <w:p>
            <w:pPr>
              <w:spacing w:after="20"/>
            </w:pPr>
            <w:r>
              <w:rPr>
                <w:rFonts w:ascii="Consolas" w:cs="Consolas" w:eastAsia="Consolas" w:hAnsi="Consolas"/>
                <w:sz w:val="18"/>
                <w:szCs w:val="18"/>
              </w:rPr>
              <w:t xml:space="preserve">    $parametros = [</w:t>
            </w:r>
          </w:p>
          <w:p>
            <w:pPr>
              <w:spacing w:after="20"/>
            </w:pPr>
            <w:r>
              <w:rPr>
                <w:rFonts w:ascii="Consolas" w:cs="Consolas" w:eastAsia="Consolas" w:hAnsi="Consolas"/>
                <w:sz w:val="18"/>
                <w:szCs w:val="18"/>
              </w:rPr>
              <w:t xml:space="preserve">        'client_id'     =&gt; apiConfig('GOOGLE_CLIENT_ID'),</w:t>
            </w:r>
          </w:p>
          <w:p>
            <w:pPr>
              <w:spacing w:after="20"/>
            </w:pPr>
            <w:r>
              <w:rPr>
                <w:rFonts w:ascii="Consolas" w:cs="Consolas" w:eastAsia="Consolas" w:hAnsi="Consolas"/>
                <w:sz w:val="18"/>
                <w:szCs w:val="18"/>
              </w:rPr>
              <w:t xml:space="preserve">        'redirect_uri'  =&gt; apiConfig('GOOGLE_REDIRECT_URI'),</w:t>
            </w:r>
          </w:p>
          <w:p>
            <w:pPr>
              <w:spacing w:after="20"/>
            </w:pPr>
            <w:r>
              <w:rPr>
                <w:rFonts w:ascii="Consolas" w:cs="Consolas" w:eastAsia="Consolas" w:hAnsi="Consolas"/>
                <w:sz w:val="18"/>
                <w:szCs w:val="18"/>
              </w:rPr>
              <w:t xml:space="preserve">        'response_type' =&gt; 'code',</w:t>
            </w:r>
          </w:p>
          <w:p>
            <w:pPr>
              <w:spacing w:after="20"/>
            </w:pPr>
            <w:r>
              <w:rPr>
                <w:rFonts w:ascii="Consolas" w:cs="Consolas" w:eastAsia="Consolas" w:hAnsi="Consolas"/>
                <w:sz w:val="18"/>
                <w:szCs w:val="18"/>
              </w:rPr>
              <w:t xml:space="preserve">        'scope'         =&gt; implode(' ', $scopes),</w:t>
            </w:r>
          </w:p>
          <w:p>
            <w:pPr>
              <w:spacing w:after="20"/>
            </w:pPr>
            <w:r>
              <w:rPr>
                <w:rFonts w:ascii="Consolas" w:cs="Consolas" w:eastAsia="Consolas" w:hAnsi="Consolas"/>
                <w:sz w:val="18"/>
                <w:szCs w:val="18"/>
              </w:rPr>
              <w:t xml:space="preserve">        'access_type'   =&gt; 'offline',</w:t>
            </w:r>
          </w:p>
          <w:p>
            <w:pPr>
              <w:spacing w:after="20"/>
            </w:pPr>
            <w:r>
              <w:rPr>
                <w:rFonts w:ascii="Consolas" w:cs="Consolas" w:eastAsia="Consolas" w:hAnsi="Consolas"/>
                <w:sz w:val="18"/>
                <w:szCs w:val="18"/>
              </w:rPr>
              <w:t xml:space="preserve">        'state'         =&gt; $_SESSION['oauth_state'] ??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return 'https://accounts.google.com/o/oauth2/v2/auth?' . http_build_query($parametros);</w:t>
            </w:r>
          </w:p>
          <w:p>
            <w:pPr>
              <w:spacing w:after="20"/>
            </w:pPr>
            <w:r>
              <w:rPr>
                <w:rFonts w:ascii="Consolas" w:cs="Consolas" w:eastAsia="Consolas" w:hAnsi="Consolas"/>
                <w:sz w:val="18"/>
                <w:szCs w:val="18"/>
              </w:rPr>
              <w:t xml:space="preserve">}</w:t>
            </w:r>
          </w:p>
        </w:tc>
      </w:tr>
    </w:tbl>
    <w:p>
      <w:pPr>
        <w:spacing w:after="260" w:before="100"/>
        <w:jc w:val="center"/>
      </w:pPr>
      <w:r>
        <w:rPr>
          <w:rFonts w:ascii="Calibri" w:cs="Calibri" w:eastAsia="Calibri" w:hAnsi="Calibri"/>
          <w:i/>
          <w:iCs/>
          <w:color w:val="595959"/>
          <w:sz w:val="18"/>
          <w:szCs w:val="18"/>
        </w:rPr>
        <w:t xml:space="preserve">Figura 13. Construcción de la URL de autorización de Google OAuth2, integrations/GoogleOAuth.php.</w:t>
      </w:r>
    </w:p>
    <w:tbl>
      <w:tblPr>
        <w:tblW w:type="dxa" w:w="9350"/>
        <w:tblBorders>
          <w:top w:val="dashed" w:color="C55A11" w:sz="6"/>
          <w:left w:val="dashed" w:color="C55A11" w:sz="6"/>
          <w:bottom w:val="dashed" w:color="C55A11" w:sz="6"/>
          <w:right w:val="dashed" w:color="C55A11" w:sz="6"/>
          <w:insideH w:val="single" w:color="auto" w:sz="4"/>
          <w:insideV w:val="single" w:color="auto" w:sz="4"/>
        </w:tblBorders>
      </w:tblPr>
      <w:tblGrid>
        <w:gridCol w:w="9350"/>
      </w:tblGrid>
      <w:tr>
        <w:trPr>
          <w:cantSplit/>
        </w:trPr>
        <w:tc>
          <w:tcPr>
            <w:tcW w:type="dxa" w:w="9350"/>
            <w:shd w:fill="FFF2E8" w:val="clear"/>
            <w:tcMar>
              <w:top w:type="dxa" w:w="160"/>
              <w:left w:type="dxa" w:w="200"/>
              <w:bottom w:type="dxa" w:w="160"/>
              <w:right w:type="dxa" w:w="200"/>
            </w:tcMar>
            <w:vAlign w:val="center"/>
          </w:tcPr>
          <w:p>
            <w:pPr>
              <w:jc w:val="center"/>
            </w:pPr>
            <w:r>
              <w:rPr>
                <w:rFonts w:ascii="Calibri" w:cs="Calibri" w:eastAsia="Calibri" w:hAnsi="Calibri"/>
                <w:b/>
                <w:bCs/>
                <w:color w:val="C55A11"/>
                <w:sz w:val="20"/>
                <w:szCs w:val="20"/>
              </w:rPr>
              <w:t xml:space="preserve">[EVIDENCIA] </w:t>
            </w:r>
            <w:r>
              <w:rPr>
                <w:rFonts w:ascii="Calibri" w:cs="Calibri" w:eastAsia="Calibri" w:hAnsi="Calibri"/>
                <w:b/>
                <w:bCs/>
                <w:i/>
                <w:iCs/>
                <w:color w:val="C55A11"/>
                <w:sz w:val="20"/>
                <w:szCs w:val="20"/>
              </w:rPr>
              <w:t xml:space="preserve">Captura: Google Cloud Console mostrando el OAuth Client ID y Client Secret generados</w:t>
            </w:r>
          </w:p>
        </w:tc>
      </w:tr>
    </w:tbl>
    <w:tbl>
      <w:tblPr>
        <w:tblW w:type="dxa" w:w="9350"/>
        <w:tblBorders>
          <w:top w:val="dashed" w:color="C55A11" w:sz="6"/>
          <w:left w:val="dashed" w:color="C55A11" w:sz="6"/>
          <w:bottom w:val="dashed" w:color="C55A11" w:sz="6"/>
          <w:right w:val="dashed" w:color="C55A11" w:sz="6"/>
          <w:insideH w:val="single" w:color="auto" w:sz="4"/>
          <w:insideV w:val="single" w:color="auto" w:sz="4"/>
        </w:tblBorders>
      </w:tblPr>
      <w:tblGrid>
        <w:gridCol w:w="9350"/>
      </w:tblGrid>
      <w:tr>
        <w:trPr>
          <w:cantSplit/>
        </w:trPr>
        <w:tc>
          <w:tcPr>
            <w:tcW w:type="dxa" w:w="9350"/>
            <w:shd w:fill="FFF2E8" w:val="clear"/>
            <w:tcMar>
              <w:top w:type="dxa" w:w="160"/>
              <w:left w:type="dxa" w:w="200"/>
              <w:bottom w:type="dxa" w:w="160"/>
              <w:right w:type="dxa" w:w="200"/>
            </w:tcMar>
            <w:vAlign w:val="center"/>
          </w:tcPr>
          <w:p>
            <w:pPr>
              <w:jc w:val="center"/>
            </w:pPr>
            <w:r>
              <w:rPr>
                <w:rFonts w:ascii="Calibri" w:cs="Calibri" w:eastAsia="Calibri" w:hAnsi="Calibri"/>
                <w:b/>
                <w:bCs/>
                <w:color w:val="C55A11"/>
                <w:sz w:val="20"/>
                <w:szCs w:val="20"/>
              </w:rPr>
              <w:t xml:space="preserve">[EVIDENCIA] </w:t>
            </w:r>
            <w:r>
              <w:rPr>
                <w:rFonts w:ascii="Calibri" w:cs="Calibri" w:eastAsia="Calibri" w:hAnsi="Calibri"/>
                <w:b/>
                <w:bCs/>
                <w:i/>
                <w:iCs/>
                <w:color w:val="C55A11"/>
                <w:sz w:val="20"/>
                <w:szCs w:val="20"/>
              </w:rPr>
              <w:t xml:space="preserve">Captura: login exitoso con Google, redirigido al Dashboard de MediCore</w:t>
            </w:r>
          </w:p>
        </w:tc>
      </w:tr>
    </w:tbl>
    <w:p>
      <w:pPr>
        <w:pStyle w:val="Heading2"/>
        <w:spacing w:after="160" w:before="260"/>
      </w:pPr>
      <w:r>
        <w:rPr>
          <w:rFonts w:ascii="Cambria" w:cs="Cambria" w:eastAsia="Cambria" w:hAnsi="Cambria"/>
          <w:color w:val="2E74B5"/>
          <w:sz w:val="26"/>
          <w:szCs w:val="26"/>
        </w:rPr>
        <w:t xml:space="preserve">7.2 Sincronización de citas con Google Calendar API</w:t>
      </w:r>
    </w:p>
    <w:p>
      <w:pPr>
        <w:spacing w:after="160" w:line="276"/>
        <w:jc w:val="both"/>
      </w:pPr>
      <w:r>
        <w:rPr>
          <w:rFonts w:ascii="Calibri" w:cs="Calibri" w:eastAsia="Calibri" w:hAnsi="Calibri"/>
          <w:sz w:val="22"/>
          <w:szCs w:val="22"/>
        </w:rPr>
        <w:t xml:space="preserve">Reutilizando el mismo consentimiento OAuth2 (con el scope calendar.events), cada vez que un médico guarda una cita en el expediente clínico, el sistema refresca el access token del médico mediante su refresh_token almacenado y crea automáticamente un evento en su Google Calendar real, con duración de 30 minutos y zona horaria de México:</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rPr>
          <w:cantSplit/>
        </w:trPr>
        <w:tc>
          <w:tcPr>
            <w:tcW w:type="dxa" w:w="9350"/>
            <w:shd w:fill="F2F2F2" w:val="clear"/>
            <w:tcMar>
              <w:top w:type="dxa" w:w="140"/>
              <w:left w:type="dxa" w:w="180"/>
              <w:bottom w:type="dxa" w:w="140"/>
              <w:right w:type="dxa" w:w="180"/>
            </w:tcMar>
          </w:tcPr>
          <w:p>
            <w:pPr>
              <w:spacing w:after="20"/>
            </w:pPr>
            <w:r>
              <w:rPr>
                <w:rFonts w:ascii="Consolas" w:cs="Consolas" w:eastAsia="Consolas" w:hAnsi="Consolas"/>
                <w:sz w:val="18"/>
                <w:szCs w:val="18"/>
              </w:rPr>
              <w:t xml:space="preserve">$evento = [</w:t>
            </w:r>
          </w:p>
          <w:p>
            <w:pPr>
              <w:spacing w:after="20"/>
            </w:pPr>
            <w:r>
              <w:rPr>
                <w:rFonts w:ascii="Consolas" w:cs="Consolas" w:eastAsia="Consolas" w:hAnsi="Consolas"/>
                <w:sz w:val="18"/>
                <w:szCs w:val="18"/>
              </w:rPr>
              <w:t xml:space="preserve">    'summary'     =&gt; 'Cita médica MediCore - ' . $nombrePaciente,</w:t>
            </w:r>
          </w:p>
          <w:p>
            <w:pPr>
              <w:spacing w:after="20"/>
            </w:pPr>
            <w:r>
              <w:rPr>
                <w:rFonts w:ascii="Consolas" w:cs="Consolas" w:eastAsia="Consolas" w:hAnsi="Consolas"/>
                <w:sz w:val="18"/>
                <w:szCs w:val="18"/>
              </w:rPr>
              <w:t xml:space="preserve">    'description' =&gt; 'Diagnóstico/observaciones: ' . $descripcion,</w:t>
            </w:r>
          </w:p>
          <w:p>
            <w:pPr>
              <w:spacing w:after="20"/>
            </w:pPr>
            <w:r>
              <w:rPr>
                <w:rFonts w:ascii="Consolas" w:cs="Consolas" w:eastAsia="Consolas" w:hAnsi="Consolas"/>
                <w:sz w:val="18"/>
                <w:szCs w:val="18"/>
              </w:rPr>
              <w:t xml:space="preserve">    'start' =&gt; ['dateTime' =&gt; date('c', $timestampInicio), 'timeZone' =&gt; 'America/Mexico_City'],</w:t>
            </w:r>
          </w:p>
          <w:p>
            <w:pPr>
              <w:spacing w:after="20"/>
            </w:pPr>
            <w:r>
              <w:rPr>
                <w:rFonts w:ascii="Consolas" w:cs="Consolas" w:eastAsia="Consolas" w:hAnsi="Consolas"/>
                <w:sz w:val="18"/>
                <w:szCs w:val="18"/>
              </w:rPr>
              <w:t xml:space="preserve">    'end'   =&gt; ['dateTime' =&gt; date('c', $timestampFin),    'timeZone' =&gt; 'America/Mexico_City']</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POST a https://www.googleapis.com/calendar/v3/calendars/{calendarId}/events</w:t>
            </w:r>
          </w:p>
        </w:tc>
      </w:tr>
    </w:tbl>
    <w:p>
      <w:pPr>
        <w:spacing w:after="260" w:before="100"/>
        <w:jc w:val="center"/>
      </w:pPr>
      <w:r>
        <w:rPr>
          <w:rFonts w:ascii="Calibri" w:cs="Calibri" w:eastAsia="Calibri" w:hAnsi="Calibri"/>
          <w:i/>
          <w:iCs/>
          <w:color w:val="595959"/>
          <w:sz w:val="18"/>
          <w:szCs w:val="18"/>
        </w:rPr>
        <w:t xml:space="preserve">Figura 14. Creación del evento de cita en Google Calendar, integrations/GoogleCalendar.php.</w:t>
      </w:r>
    </w:p>
    <w:tbl>
      <w:tblPr>
        <w:tblW w:type="dxa" w:w="9350"/>
        <w:tblBorders>
          <w:top w:val="dashed" w:color="C55A11" w:sz="6"/>
          <w:left w:val="dashed" w:color="C55A11" w:sz="6"/>
          <w:bottom w:val="dashed" w:color="C55A11" w:sz="6"/>
          <w:right w:val="dashed" w:color="C55A11" w:sz="6"/>
          <w:insideH w:val="single" w:color="auto" w:sz="4"/>
          <w:insideV w:val="single" w:color="auto" w:sz="4"/>
        </w:tblBorders>
      </w:tblPr>
      <w:tblGrid>
        <w:gridCol w:w="9350"/>
      </w:tblGrid>
      <w:tr>
        <w:trPr>
          <w:cantSplit/>
        </w:trPr>
        <w:tc>
          <w:tcPr>
            <w:tcW w:type="dxa" w:w="9350"/>
            <w:shd w:fill="FFF2E8" w:val="clear"/>
            <w:tcMar>
              <w:top w:type="dxa" w:w="160"/>
              <w:left w:type="dxa" w:w="200"/>
              <w:bottom w:type="dxa" w:w="160"/>
              <w:right w:type="dxa" w:w="200"/>
            </w:tcMar>
            <w:vAlign w:val="center"/>
          </w:tcPr>
          <w:p>
            <w:pPr>
              <w:jc w:val="center"/>
            </w:pPr>
            <w:r>
              <w:rPr>
                <w:rFonts w:ascii="Calibri" w:cs="Calibri" w:eastAsia="Calibri" w:hAnsi="Calibri"/>
                <w:b/>
                <w:bCs/>
                <w:color w:val="C55A11"/>
                <w:sz w:val="20"/>
                <w:szCs w:val="20"/>
              </w:rPr>
              <w:t xml:space="preserve">[EVIDENCIA] </w:t>
            </w:r>
            <w:r>
              <w:rPr>
                <w:rFonts w:ascii="Calibri" w:cs="Calibri" w:eastAsia="Calibri" w:hAnsi="Calibri"/>
                <w:b/>
                <w:bCs/>
                <w:i/>
                <w:iCs/>
                <w:color w:val="C55A11"/>
                <w:sz w:val="20"/>
                <w:szCs w:val="20"/>
              </w:rPr>
              <w:t xml:space="preserve">Captura: evento 'Cita médica MediCore - [paciente]' visible en Google Calendar real</w:t>
            </w:r>
          </w:p>
        </w:tc>
      </w:tr>
    </w:tbl>
    <w:p>
      <w:pPr>
        <w:pStyle w:val="Heading2"/>
        <w:spacing w:after="160" w:before="260"/>
      </w:pPr>
      <w:r>
        <w:rPr>
          <w:rFonts w:ascii="Cambria" w:cs="Cambria" w:eastAsia="Cambria" w:hAnsi="Cambria"/>
          <w:color w:val="2E74B5"/>
          <w:sz w:val="26"/>
          <w:szCs w:val="26"/>
        </w:rPr>
        <w:t xml:space="preserve">7.3 Notificaciones automáticas con SendGrid</w:t>
      </w:r>
    </w:p>
    <w:p>
      <w:pPr>
        <w:spacing w:after="160" w:line="276"/>
        <w:jc w:val="both"/>
      </w:pPr>
      <w:r>
        <w:rPr>
          <w:rFonts w:ascii="Calibri" w:cs="Calibri" w:eastAsia="Calibri" w:hAnsi="Calibri"/>
          <w:sz w:val="22"/>
          <w:szCs w:val="22"/>
        </w:rPr>
        <w:t xml:space="preserve">Se integró la API v3 de SendGrid (100 correos/día gratis) para dos flujos reales: recuperación de contraseña mediante un token de un solo uso con expiración, y confirmación automática de citas médicas al guardar el expediente:</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rPr>
          <w:cantSplit/>
        </w:trPr>
        <w:tc>
          <w:tcPr>
            <w:tcW w:type="dxa" w:w="9350"/>
            <w:shd w:fill="F2F2F2" w:val="clear"/>
            <w:tcMar>
              <w:top w:type="dxa" w:w="140"/>
              <w:left w:type="dxa" w:w="180"/>
              <w:bottom w:type="dxa" w:w="140"/>
              <w:right w:type="dxa" w:w="180"/>
            </w:tcMar>
          </w:tcPr>
          <w:p>
            <w:pPr>
              <w:spacing w:after="20"/>
            </w:pPr>
            <w:r>
              <w:rPr>
                <w:rFonts w:ascii="Consolas" w:cs="Consolas" w:eastAsia="Consolas" w:hAnsi="Consolas"/>
                <w:sz w:val="18"/>
                <w:szCs w:val="18"/>
              </w:rPr>
              <w:t xml:space="preserve">function enviarCorreoSendGrid($destinatarioEmail, $destinatarioNombre, $asunto, $contenidoHtml) {</w:t>
            </w:r>
          </w:p>
          <w:p>
            <w:pPr>
              <w:spacing w:after="20"/>
            </w:pPr>
            <w:r>
              <w:rPr>
                <w:rFonts w:ascii="Consolas" w:cs="Consolas" w:eastAsia="Consolas" w:hAnsi="Consolas"/>
                <w:sz w:val="18"/>
                <w:szCs w:val="18"/>
              </w:rPr>
              <w:t xml:space="preserve">    if (!sendGridDisponible()) { return false; }</w:t>
            </w:r>
          </w:p>
          <w:p>
            <w:pPr>
              <w:spacing w:after="20"/>
            </w:pPr>
            <w:r>
              <w:rPr>
                <w:rFonts w:ascii="Consolas" w:cs="Consolas" w:eastAsia="Consolas" w:hAnsi="Consolas"/>
                <w:sz w:val="18"/>
                <w:szCs w:val="18"/>
              </w:rPr>
              <w:t xml:space="preserve">    $payload = [</w:t>
            </w:r>
          </w:p>
          <w:p>
            <w:pPr>
              <w:spacing w:after="20"/>
            </w:pPr>
            <w:r>
              <w:rPr>
                <w:rFonts w:ascii="Consolas" w:cs="Consolas" w:eastAsia="Consolas" w:hAnsi="Consolas"/>
                <w:sz w:val="18"/>
                <w:szCs w:val="18"/>
              </w:rPr>
              <w:t xml:space="preserve">        'personalizations' =&gt; [[ 'to' =&gt; [[ 'email' =&gt; $destinatarioEmail,</w:t>
            </w:r>
          </w:p>
          <w:p>
            <w:pPr>
              <w:spacing w:after="20"/>
            </w:pPr>
            <w:r>
              <w:rPr>
                <w:rFonts w:ascii="Consolas" w:cs="Consolas" w:eastAsia="Consolas" w:hAnsi="Consolas"/>
                <w:sz w:val="18"/>
                <w:szCs w:val="18"/>
              </w:rPr>
              <w:t xml:space="preserve">                                             'name'  =&gt; $destinatarioNombre ]],</w:t>
            </w:r>
          </w:p>
          <w:p>
            <w:pPr>
              <w:spacing w:after="20"/>
            </w:pPr>
            <w:r>
              <w:rPr>
                <w:rFonts w:ascii="Consolas" w:cs="Consolas" w:eastAsia="Consolas" w:hAnsi="Consolas"/>
                <w:sz w:val="18"/>
                <w:szCs w:val="18"/>
              </w:rPr>
              <w:t xml:space="preserve">                                  'subject' =&gt; $asunto ]],</w:t>
            </w:r>
          </w:p>
          <w:p>
            <w:pPr>
              <w:spacing w:after="20"/>
            </w:pPr>
            <w:r>
              <w:rPr>
                <w:rFonts w:ascii="Consolas" w:cs="Consolas" w:eastAsia="Consolas" w:hAnsi="Consolas"/>
                <w:sz w:val="18"/>
                <w:szCs w:val="18"/>
              </w:rPr>
              <w:t xml:space="preserve">        'from'    =&gt; ['email' =&gt; apiConfig('SENDGRID_FROM_EMAIL'), 'name' =&gt; apiConfig('SENDGRID_FROM_NAME')],</w:t>
            </w:r>
          </w:p>
          <w:p>
            <w:pPr>
              <w:spacing w:after="20"/>
            </w:pPr>
            <w:r>
              <w:rPr>
                <w:rFonts w:ascii="Consolas" w:cs="Consolas" w:eastAsia="Consolas" w:hAnsi="Consolas"/>
                <w:sz w:val="18"/>
                <w:szCs w:val="18"/>
              </w:rPr>
              <w:t xml:space="preserve">        'content' =&gt; [[ 'type' =&gt; 'text/html', 'value' =&gt; $contenidoHtml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 POST a https://api.sendgrid.com/v3/mail/send con Authorization: Bearer {apiKey}</w:t>
            </w:r>
          </w:p>
          <w:p>
            <w:pPr>
              <w:spacing w:after="20"/>
            </w:pPr>
            <w:r>
              <w:rPr>
                <w:rFonts w:ascii="Consolas" w:cs="Consolas" w:eastAsia="Consolas" w:hAnsi="Consolas"/>
                <w:sz w:val="18"/>
                <w:szCs w:val="18"/>
              </w:rPr>
              <w:t xml:space="preserve">}</w:t>
            </w:r>
          </w:p>
        </w:tc>
      </w:tr>
    </w:tbl>
    <w:p>
      <w:pPr>
        <w:spacing w:after="260" w:before="100"/>
        <w:jc w:val="center"/>
      </w:pPr>
      <w:r>
        <w:rPr>
          <w:rFonts w:ascii="Calibri" w:cs="Calibri" w:eastAsia="Calibri" w:hAnsi="Calibri"/>
          <w:i/>
          <w:iCs/>
          <w:color w:val="595959"/>
          <w:sz w:val="18"/>
          <w:szCs w:val="18"/>
        </w:rPr>
        <w:t xml:space="preserve">Figura 15. Envío de correo transaccional vía API v3 de SendGrid, integrations/SendGridMailer.php.</w:t>
      </w:r>
    </w:p>
    <w:tbl>
      <w:tblPr>
        <w:tblW w:type="dxa" w:w="9350"/>
        <w:tblBorders>
          <w:top w:val="dashed" w:color="C55A11" w:sz="6"/>
          <w:left w:val="dashed" w:color="C55A11" w:sz="6"/>
          <w:bottom w:val="dashed" w:color="C55A11" w:sz="6"/>
          <w:right w:val="dashed" w:color="C55A11" w:sz="6"/>
          <w:insideH w:val="single" w:color="auto" w:sz="4"/>
          <w:insideV w:val="single" w:color="auto" w:sz="4"/>
        </w:tblBorders>
      </w:tblPr>
      <w:tblGrid>
        <w:gridCol w:w="9350"/>
      </w:tblGrid>
      <w:tr>
        <w:trPr>
          <w:cantSplit/>
        </w:trPr>
        <w:tc>
          <w:tcPr>
            <w:tcW w:type="dxa" w:w="9350"/>
            <w:shd w:fill="FFF2E8" w:val="clear"/>
            <w:tcMar>
              <w:top w:type="dxa" w:w="160"/>
              <w:left w:type="dxa" w:w="200"/>
              <w:bottom w:type="dxa" w:w="160"/>
              <w:right w:type="dxa" w:w="200"/>
            </w:tcMar>
            <w:vAlign w:val="center"/>
          </w:tcPr>
          <w:p>
            <w:pPr>
              <w:jc w:val="center"/>
            </w:pPr>
            <w:r>
              <w:rPr>
                <w:rFonts w:ascii="Calibri" w:cs="Calibri" w:eastAsia="Calibri" w:hAnsi="Calibri"/>
                <w:b/>
                <w:bCs/>
                <w:color w:val="C55A11"/>
                <w:sz w:val="20"/>
                <w:szCs w:val="20"/>
              </w:rPr>
              <w:t xml:space="preserve">[EVIDENCIA] </w:t>
            </w:r>
            <w:r>
              <w:rPr>
                <w:rFonts w:ascii="Calibri" w:cs="Calibri" w:eastAsia="Calibri" w:hAnsi="Calibri"/>
                <w:b/>
                <w:bCs/>
                <w:i/>
                <w:iCs/>
                <w:color w:val="C55A11"/>
                <w:sz w:val="20"/>
                <w:szCs w:val="20"/>
              </w:rPr>
              <w:t xml:space="preserve">Captura: correo de recuperación de contraseña recibido en la bandeja de entrada</w:t>
            </w:r>
          </w:p>
        </w:tc>
      </w:tr>
    </w:tbl>
    <w:tbl>
      <w:tblPr>
        <w:tblW w:type="dxa" w:w="9350"/>
        <w:tblBorders>
          <w:top w:val="dashed" w:color="C55A11" w:sz="6"/>
          <w:left w:val="dashed" w:color="C55A11" w:sz="6"/>
          <w:bottom w:val="dashed" w:color="C55A11" w:sz="6"/>
          <w:right w:val="dashed" w:color="C55A11" w:sz="6"/>
          <w:insideH w:val="single" w:color="auto" w:sz="4"/>
          <w:insideV w:val="single" w:color="auto" w:sz="4"/>
        </w:tblBorders>
      </w:tblPr>
      <w:tblGrid>
        <w:gridCol w:w="9350"/>
      </w:tblGrid>
      <w:tr>
        <w:trPr>
          <w:cantSplit/>
        </w:trPr>
        <w:tc>
          <w:tcPr>
            <w:tcW w:type="dxa" w:w="9350"/>
            <w:shd w:fill="FFF2E8" w:val="clear"/>
            <w:tcMar>
              <w:top w:type="dxa" w:w="160"/>
              <w:left w:type="dxa" w:w="200"/>
              <w:bottom w:type="dxa" w:w="160"/>
              <w:right w:type="dxa" w:w="200"/>
            </w:tcMar>
            <w:vAlign w:val="center"/>
          </w:tcPr>
          <w:p>
            <w:pPr>
              <w:jc w:val="center"/>
            </w:pPr>
            <w:r>
              <w:rPr>
                <w:rFonts w:ascii="Calibri" w:cs="Calibri" w:eastAsia="Calibri" w:hAnsi="Calibri"/>
                <w:b/>
                <w:bCs/>
                <w:color w:val="C55A11"/>
                <w:sz w:val="20"/>
                <w:szCs w:val="20"/>
              </w:rPr>
              <w:t xml:space="preserve">[EVIDENCIA] </w:t>
            </w:r>
            <w:r>
              <w:rPr>
                <w:rFonts w:ascii="Calibri" w:cs="Calibri" w:eastAsia="Calibri" w:hAnsi="Calibri"/>
                <w:b/>
                <w:bCs/>
                <w:i/>
                <w:iCs/>
                <w:color w:val="C55A11"/>
                <w:sz w:val="20"/>
                <w:szCs w:val="20"/>
              </w:rPr>
              <w:t xml:space="preserve">Captura: bitácora seguridad.log mostrando 'SendGrid -&gt; ... | HTTP 202'</w:t>
            </w:r>
          </w:p>
        </w:tc>
      </w:tr>
    </w:tbl>
    <w:p>
      <w:pPr>
        <w:pStyle w:val="Heading2"/>
        <w:spacing w:after="160" w:before="260"/>
      </w:pPr>
      <w:r>
        <w:rPr>
          <w:rFonts w:ascii="Cambria" w:cs="Cambria" w:eastAsia="Cambria" w:hAnsi="Cambria"/>
          <w:color w:val="2E74B5"/>
          <w:sz w:val="26"/>
          <w:szCs w:val="26"/>
        </w:rPr>
        <w:t xml:space="preserve">7.4 Verificación en dos pasos (OTP) con Twilio</w:t>
      </w:r>
    </w:p>
    <w:p>
      <w:pPr>
        <w:spacing w:after="160" w:line="276"/>
        <w:jc w:val="both"/>
      </w:pPr>
      <w:r>
        <w:rPr>
          <w:rFonts w:ascii="Calibri" w:cs="Calibri" w:eastAsia="Calibri" w:hAnsi="Calibri"/>
          <w:sz w:val="22"/>
          <w:szCs w:val="22"/>
        </w:rPr>
        <w:t xml:space="preserve">Como segundo factor opcional de autenticación, se integró la API de mensajería de Twilio: al iniciar sesión con correo y contraseña, si el médico tiene un teléfono registrado y el módulo está habilitado, el sistema genera un código numérico de 6 dígitos, lo guarda con expiración de 5 minutos y lo envía por SMS antes de completar el inicio de sesión:</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rPr>
          <w:cantSplit/>
        </w:trPr>
        <w:tc>
          <w:tcPr>
            <w:tcW w:type="dxa" w:w="9350"/>
            <w:shd w:fill="F2F2F2" w:val="clear"/>
            <w:tcMar>
              <w:top w:type="dxa" w:w="140"/>
              <w:left w:type="dxa" w:w="180"/>
              <w:bottom w:type="dxa" w:w="140"/>
              <w:right w:type="dxa" w:w="180"/>
            </w:tcMar>
          </w:tcPr>
          <w:p>
            <w:pPr>
              <w:spacing w:after="20"/>
            </w:pPr>
            <w:r>
              <w:rPr>
                <w:rFonts w:ascii="Consolas" w:cs="Consolas" w:eastAsia="Consolas" w:hAnsi="Consolas"/>
                <w:sz w:val="18"/>
                <w:szCs w:val="18"/>
              </w:rPr>
              <w:t xml:space="preserve">function enviarOTPTwilio($telefonoDestino, $codigo) {</w:t>
            </w:r>
          </w:p>
          <w:p>
            <w:pPr>
              <w:spacing w:after="20"/>
            </w:pPr>
            <w:r>
              <w:rPr>
                <w:rFonts w:ascii="Consolas" w:cs="Consolas" w:eastAsia="Consolas" w:hAnsi="Consolas"/>
                <w:sz w:val="18"/>
                <w:szCs w:val="18"/>
              </w:rPr>
              <w:t xml:space="preserve">    $sid = apiConfig('TWILIO_ACCOUNT_SID');</w:t>
            </w:r>
          </w:p>
          <w:p>
            <w:pPr>
              <w:spacing w:after="20"/>
            </w:pPr>
            <w:r>
              <w:rPr>
                <w:rFonts w:ascii="Consolas" w:cs="Consolas" w:eastAsia="Consolas" w:hAnsi="Consolas"/>
                <w:sz w:val="18"/>
                <w:szCs w:val="18"/>
              </w:rPr>
              <w:t xml:space="preserve">    $token = apiConfig('TWILIO_AUTH_TOKEN');</w:t>
            </w:r>
          </w:p>
          <w:p>
            <w:pPr>
              <w:spacing w:after="20"/>
            </w:pPr>
            <w:r>
              <w:rPr>
                <w:rFonts w:ascii="Consolas" w:cs="Consolas" w:eastAsia="Consolas" w:hAnsi="Consolas"/>
                <w:sz w:val="18"/>
                <w:szCs w:val="18"/>
              </w:rPr>
              <w:t xml:space="preserve">    $desde = apiConfig('TWILIO_FROM_NUMBER');</w:t>
            </w:r>
          </w:p>
          <w:p>
            <w:pPr>
              <w:spacing w:after="20"/>
            </w:pPr>
            <w:r>
              <w:rPr>
                <w:rFonts w:ascii="Consolas" w:cs="Consolas" w:eastAsia="Consolas" w:hAnsi="Consolas"/>
                <w:sz w:val="18"/>
                <w:szCs w:val="18"/>
              </w:rPr>
              <w:t xml:space="preserve">    // POST a https://api.twilio.com/2010-04-01/Accounts/{sid}/Messages.json</w:t>
            </w:r>
          </w:p>
          <w:p>
            <w:pPr>
              <w:spacing w:after="20"/>
            </w:pPr>
            <w:r>
              <w:rPr>
                <w:rFonts w:ascii="Consolas" w:cs="Consolas" w:eastAsia="Consolas" w:hAnsi="Consolas"/>
                <w:sz w:val="18"/>
                <w:szCs w:val="18"/>
              </w:rPr>
              <w:t xml:space="preserve">    // Body: To, From, Body: "MediCore: tu código de verificación es $codigo..."</w:t>
            </w:r>
          </w:p>
          <w:p>
            <w:pPr>
              <w:spacing w:after="20"/>
            </w:pPr>
            <w:r>
              <w:rPr>
                <w:rFonts w:ascii="Consolas" w:cs="Consolas" w:eastAsia="Consolas" w:hAnsi="Consolas"/>
                <w:sz w:val="18"/>
                <w:szCs w:val="18"/>
              </w:rPr>
              <w:t xml:space="preserve">}</w:t>
            </w:r>
          </w:p>
        </w:tc>
      </w:tr>
    </w:tbl>
    <w:p>
      <w:pPr>
        <w:spacing w:after="260" w:before="100"/>
        <w:jc w:val="center"/>
      </w:pPr>
      <w:r>
        <w:rPr>
          <w:rFonts w:ascii="Calibri" w:cs="Calibri" w:eastAsia="Calibri" w:hAnsi="Calibri"/>
          <w:i/>
          <w:iCs/>
          <w:color w:val="595959"/>
          <w:sz w:val="18"/>
          <w:szCs w:val="18"/>
        </w:rPr>
        <w:t xml:space="preserve">Figura 16. Envío del código OTP vía API REST de Twilio, integrations/TwilioOTP.php.</w:t>
      </w:r>
    </w:p>
    <w:tbl>
      <w:tblPr>
        <w:tblW w:type="dxa" w:w="9350"/>
        <w:tblBorders>
          <w:top w:val="dashed" w:color="C55A11" w:sz="6"/>
          <w:left w:val="dashed" w:color="C55A11" w:sz="6"/>
          <w:bottom w:val="dashed" w:color="C55A11" w:sz="6"/>
          <w:right w:val="dashed" w:color="C55A11" w:sz="6"/>
          <w:insideH w:val="single" w:color="auto" w:sz="4"/>
          <w:insideV w:val="single" w:color="auto" w:sz="4"/>
        </w:tblBorders>
      </w:tblPr>
      <w:tblGrid>
        <w:gridCol w:w="9350"/>
      </w:tblGrid>
      <w:tr>
        <w:trPr>
          <w:cantSplit/>
        </w:trPr>
        <w:tc>
          <w:tcPr>
            <w:tcW w:type="dxa" w:w="9350"/>
            <w:shd w:fill="FFF2E8" w:val="clear"/>
            <w:tcMar>
              <w:top w:type="dxa" w:w="160"/>
              <w:left w:type="dxa" w:w="200"/>
              <w:bottom w:type="dxa" w:w="160"/>
              <w:right w:type="dxa" w:w="200"/>
            </w:tcMar>
            <w:vAlign w:val="center"/>
          </w:tcPr>
          <w:p>
            <w:pPr>
              <w:jc w:val="center"/>
            </w:pPr>
            <w:r>
              <w:rPr>
                <w:rFonts w:ascii="Calibri" w:cs="Calibri" w:eastAsia="Calibri" w:hAnsi="Calibri"/>
                <w:b/>
                <w:bCs/>
                <w:color w:val="C55A11"/>
                <w:sz w:val="20"/>
                <w:szCs w:val="20"/>
              </w:rPr>
              <w:t xml:space="preserve">[EVIDENCIA] </w:t>
            </w:r>
            <w:r>
              <w:rPr>
                <w:rFonts w:ascii="Calibri" w:cs="Calibri" w:eastAsia="Calibri" w:hAnsi="Calibri"/>
                <w:b/>
                <w:bCs/>
                <w:i/>
                <w:iCs/>
                <w:color w:val="C55A11"/>
                <w:sz w:val="20"/>
                <w:szCs w:val="20"/>
              </w:rPr>
              <w:t xml:space="preserve">Captura: número de Twilio activo en 'Active Numbers' y verificación del teléfono personal</w:t>
            </w:r>
          </w:p>
        </w:tc>
      </w:tr>
    </w:tbl>
    <w:tbl>
      <w:tblPr>
        <w:tblW w:type="dxa" w:w="9350"/>
        <w:tblBorders>
          <w:top w:val="dashed" w:color="C55A11" w:sz="6"/>
          <w:left w:val="dashed" w:color="C55A11" w:sz="6"/>
          <w:bottom w:val="dashed" w:color="C55A11" w:sz="6"/>
          <w:right w:val="dashed" w:color="C55A11" w:sz="6"/>
          <w:insideH w:val="single" w:color="auto" w:sz="4"/>
          <w:insideV w:val="single" w:color="auto" w:sz="4"/>
        </w:tblBorders>
      </w:tblPr>
      <w:tblGrid>
        <w:gridCol w:w="9350"/>
      </w:tblGrid>
      <w:tr>
        <w:trPr>
          <w:cantSplit/>
        </w:trPr>
        <w:tc>
          <w:tcPr>
            <w:tcW w:type="dxa" w:w="9350"/>
            <w:shd w:fill="FFF2E8" w:val="clear"/>
            <w:tcMar>
              <w:top w:type="dxa" w:w="160"/>
              <w:left w:type="dxa" w:w="200"/>
              <w:bottom w:type="dxa" w:w="160"/>
              <w:right w:type="dxa" w:w="200"/>
            </w:tcMar>
            <w:vAlign w:val="center"/>
          </w:tcPr>
          <w:p>
            <w:pPr>
              <w:jc w:val="center"/>
            </w:pPr>
            <w:r>
              <w:rPr>
                <w:rFonts w:ascii="Calibri" w:cs="Calibri" w:eastAsia="Calibri" w:hAnsi="Calibri"/>
                <w:b/>
                <w:bCs/>
                <w:color w:val="C55A11"/>
                <w:sz w:val="20"/>
                <w:szCs w:val="20"/>
              </w:rPr>
              <w:t xml:space="preserve">[EVIDENCIA] </w:t>
            </w:r>
            <w:r>
              <w:rPr>
                <w:rFonts w:ascii="Calibri" w:cs="Calibri" w:eastAsia="Calibri" w:hAnsi="Calibri"/>
                <w:b/>
                <w:bCs/>
                <w:i/>
                <w:iCs/>
                <w:color w:val="C55A11"/>
                <w:sz w:val="20"/>
                <w:szCs w:val="20"/>
              </w:rPr>
              <w:t xml:space="preserve">Captura: SMS real recibido en el celular con el código de verificación</w:t>
            </w:r>
          </w:p>
        </w:tc>
      </w:tr>
    </w:tbl>
    <w:tbl>
      <w:tblPr>
        <w:tblW w:type="dxa" w:w="9350"/>
        <w:tblBorders>
          <w:top w:val="dashed" w:color="C55A11" w:sz="6"/>
          <w:left w:val="dashed" w:color="C55A11" w:sz="6"/>
          <w:bottom w:val="dashed" w:color="C55A11" w:sz="6"/>
          <w:right w:val="dashed" w:color="C55A11" w:sz="6"/>
          <w:insideH w:val="single" w:color="auto" w:sz="4"/>
          <w:insideV w:val="single" w:color="auto" w:sz="4"/>
        </w:tblBorders>
      </w:tblPr>
      <w:tblGrid>
        <w:gridCol w:w="9350"/>
      </w:tblGrid>
      <w:tr>
        <w:trPr>
          <w:cantSplit/>
        </w:trPr>
        <w:tc>
          <w:tcPr>
            <w:tcW w:type="dxa" w:w="9350"/>
            <w:shd w:fill="FFF2E8" w:val="clear"/>
            <w:tcMar>
              <w:top w:type="dxa" w:w="160"/>
              <w:left w:type="dxa" w:w="200"/>
              <w:bottom w:type="dxa" w:w="160"/>
              <w:right w:type="dxa" w:w="200"/>
            </w:tcMar>
            <w:vAlign w:val="center"/>
          </w:tcPr>
          <w:p>
            <w:pPr>
              <w:jc w:val="center"/>
            </w:pPr>
            <w:r>
              <w:rPr>
                <w:rFonts w:ascii="Calibri" w:cs="Calibri" w:eastAsia="Calibri" w:hAnsi="Calibri"/>
                <w:b/>
                <w:bCs/>
                <w:color w:val="C55A11"/>
                <w:sz w:val="20"/>
                <w:szCs w:val="20"/>
              </w:rPr>
              <w:t xml:space="preserve">[EVIDENCIA] </w:t>
            </w:r>
            <w:r>
              <w:rPr>
                <w:rFonts w:ascii="Calibri" w:cs="Calibri" w:eastAsia="Calibri" w:hAnsi="Calibri"/>
                <w:b/>
                <w:bCs/>
                <w:i/>
                <w:iCs/>
                <w:color w:val="C55A11"/>
                <w:sz w:val="20"/>
                <w:szCs w:val="20"/>
              </w:rPr>
              <w:t xml:space="preserve">Captura: pantalla de MediCore 'Verificación en dos pasos' aceptando el código</w:t>
            </w:r>
          </w:p>
        </w:tc>
      </w:tr>
    </w:tbl>
    <w:p>
      <w:pPr>
        <w:pStyle w:val="Heading2"/>
        <w:spacing w:after="160" w:before="260"/>
      </w:pPr>
      <w:r>
        <w:rPr>
          <w:rFonts w:ascii="Cambria" w:cs="Cambria" w:eastAsia="Cambria" w:hAnsi="Cambria"/>
          <w:color w:val="2E74B5"/>
          <w:sz w:val="26"/>
          <w:szCs w:val="26"/>
        </w:rPr>
        <w:t xml:space="preserve">7.5 Recetas y consultas por videollamada (Jitsi Meet)</w:t>
      </w:r>
    </w:p>
    <w:p>
      <w:pPr>
        <w:spacing w:after="160" w:line="276"/>
        <w:jc w:val="both"/>
      </w:pPr>
      <w:r>
        <w:rPr>
          <w:rFonts w:ascii="Calibri" w:cs="Calibri" w:eastAsia="Calibri" w:hAnsi="Calibri"/>
          <w:sz w:val="22"/>
          <w:szCs w:val="22"/>
        </w:rPr>
        <w:t xml:space="preserve">Para las consultas de seguimiento a distancia, se generó una sala de videollamada gratuita y sin necesidad de API key mediante Jitsi Meet, calculando una URL determinística a partir del identificador del paciente y la fecha/hora de la cita, de forma que la misma cita siempre reutiliza el mismo enlace:</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rPr>
          <w:cantSplit/>
        </w:trPr>
        <w:tc>
          <w:tcPr>
            <w:tcW w:type="dxa" w:w="9350"/>
            <w:shd w:fill="F2F2F2" w:val="clear"/>
            <w:tcMar>
              <w:top w:type="dxa" w:w="140"/>
              <w:left w:type="dxa" w:w="180"/>
              <w:bottom w:type="dxa" w:w="140"/>
              <w:right w:type="dxa" w:w="180"/>
            </w:tcMar>
          </w:tcPr>
          <w:p>
            <w:pPr>
              <w:spacing w:after="20"/>
            </w:pPr>
            <w:r>
              <w:rPr>
                <w:rFonts w:ascii="Consolas" w:cs="Consolas" w:eastAsia="Consolas" w:hAnsi="Consolas"/>
                <w:sz w:val="18"/>
                <w:szCs w:val="18"/>
              </w:rPr>
              <w:t xml:space="preserve">$hashCita = substr(sha1($paciente_id . $fecha_cita . $hora_cita . 'medicore_salt'), 0, 10);</w:t>
            </w:r>
          </w:p>
          <w:p>
            <w:pPr>
              <w:spacing w:after="20"/>
            </w:pPr>
            <w:r>
              <w:rPr>
                <w:rFonts w:ascii="Consolas" w:cs="Consolas" w:eastAsia="Consolas" w:hAnsi="Consolas"/>
                <w:sz w:val="18"/>
                <w:szCs w:val="18"/>
              </w:rPr>
              <w:t xml:space="preserve">$video_link = "https://meet.jit.si/MediCore-{$paciente_id}-{$hashCita}";</w:t>
            </w:r>
          </w:p>
        </w:tc>
      </w:tr>
    </w:tbl>
    <w:p>
      <w:pPr>
        <w:spacing w:after="260" w:before="100"/>
        <w:jc w:val="center"/>
      </w:pPr>
      <w:r>
        <w:rPr>
          <w:rFonts w:ascii="Calibri" w:cs="Calibri" w:eastAsia="Calibri" w:hAnsi="Calibri"/>
          <w:i/>
          <w:iCs/>
          <w:color w:val="595959"/>
          <w:sz w:val="18"/>
          <w:szCs w:val="18"/>
        </w:rPr>
        <w:t xml:space="preserve">Figura 17. Generación determinística del enlace de videollamada, expediente.php.</w:t>
      </w:r>
    </w:p>
    <w:tbl>
      <w:tblPr>
        <w:tblW w:type="dxa" w:w="9350"/>
        <w:tblBorders>
          <w:top w:val="dashed" w:color="C55A11" w:sz="6"/>
          <w:left w:val="dashed" w:color="C55A11" w:sz="6"/>
          <w:bottom w:val="dashed" w:color="C55A11" w:sz="6"/>
          <w:right w:val="dashed" w:color="C55A11" w:sz="6"/>
          <w:insideH w:val="single" w:color="auto" w:sz="4"/>
          <w:insideV w:val="single" w:color="auto" w:sz="4"/>
        </w:tblBorders>
      </w:tblPr>
      <w:tblGrid>
        <w:gridCol w:w="9350"/>
      </w:tblGrid>
      <w:tr>
        <w:trPr>
          <w:cantSplit/>
        </w:trPr>
        <w:tc>
          <w:tcPr>
            <w:tcW w:type="dxa" w:w="9350"/>
            <w:shd w:fill="FFF2E8" w:val="clear"/>
            <w:tcMar>
              <w:top w:type="dxa" w:w="160"/>
              <w:left w:type="dxa" w:w="200"/>
              <w:bottom w:type="dxa" w:w="160"/>
              <w:right w:type="dxa" w:w="200"/>
            </w:tcMar>
            <w:vAlign w:val="center"/>
          </w:tcPr>
          <w:p>
            <w:pPr>
              <w:jc w:val="center"/>
            </w:pPr>
            <w:r>
              <w:rPr>
                <w:rFonts w:ascii="Calibri" w:cs="Calibri" w:eastAsia="Calibri" w:hAnsi="Calibri"/>
                <w:b/>
                <w:bCs/>
                <w:color w:val="C55A11"/>
                <w:sz w:val="20"/>
                <w:szCs w:val="20"/>
              </w:rPr>
              <w:t xml:space="preserve">[EVIDENCIA] </w:t>
            </w:r>
            <w:r>
              <w:rPr>
                <w:rFonts w:ascii="Calibri" w:cs="Calibri" w:eastAsia="Calibri" w:hAnsi="Calibri"/>
                <w:b/>
                <w:bCs/>
                <w:i/>
                <w:iCs/>
                <w:color w:val="C55A11"/>
                <w:sz w:val="20"/>
                <w:szCs w:val="20"/>
              </w:rPr>
              <w:t xml:space="preserve">Captura: botón 'Iniciar videollamada' en el expediente y la sala de Jitsi Meet abierta</w:t>
            </w:r>
          </w:p>
        </w:tc>
      </w:tr>
    </w:tbl>
    <w:p>
      <w:pPr>
        <w:pStyle w:val="Heading2"/>
        <w:spacing w:after="160" w:before="260"/>
      </w:pPr>
      <w:r>
        <w:rPr>
          <w:rFonts w:ascii="Cambria" w:cs="Cambria" w:eastAsia="Cambria" w:hAnsi="Cambria"/>
          <w:color w:val="2E74B5"/>
          <w:sz w:val="26"/>
          <w:szCs w:val="26"/>
        </w:rPr>
        <w:t xml:space="preserve">7.6 Recomendaciones clínicas por clima (OpenWeatherMap) y catálogo de enfermedades</w:t>
      </w:r>
    </w:p>
    <w:p>
      <w:pPr>
        <w:spacing w:after="160" w:line="276"/>
        <w:jc w:val="both"/>
      </w:pPr>
      <w:r>
        <w:rPr>
          <w:rFonts w:ascii="Calibri" w:cs="Calibri" w:eastAsia="Calibri" w:hAnsi="Calibri"/>
          <w:sz w:val="22"/>
          <w:szCs w:val="22"/>
        </w:rPr>
        <w:t xml:space="preserve">Se integró la API gratuita de OpenWeatherMap para obtener el clima actual de la ciudad configurada, y con base en la temperatura y condición reportada se generan recomendaciones clínicas automáticas (hidratación, precauciones respiratorias, protección solar), que se muestran junto al catálogo de tipos de enfermedades administrado por el médico:</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rPr>
          <w:cantSplit/>
        </w:trPr>
        <w:tc>
          <w:tcPr>
            <w:tcW w:type="dxa" w:w="9350"/>
            <w:shd w:fill="F2F2F2" w:val="clear"/>
            <w:tcMar>
              <w:top w:type="dxa" w:w="140"/>
              <w:left w:type="dxa" w:w="180"/>
              <w:bottom w:type="dxa" w:w="140"/>
              <w:right w:type="dxa" w:w="180"/>
            </w:tcMar>
          </w:tcPr>
          <w:p>
            <w:pPr>
              <w:spacing w:after="20"/>
            </w:pPr>
            <w:r>
              <w:rPr>
                <w:rFonts w:ascii="Consolas" w:cs="Consolas" w:eastAsia="Consolas" w:hAnsi="Consolas"/>
                <w:sz w:val="18"/>
                <w:szCs w:val="18"/>
              </w:rPr>
              <w:t xml:space="preserve">if ($temp &gt;= 30) {</w:t>
            </w:r>
          </w:p>
          <w:p>
            <w:pPr>
              <w:spacing w:after="20"/>
            </w:pPr>
            <w:r>
              <w:rPr>
                <w:rFonts w:ascii="Consolas" w:cs="Consolas" w:eastAsia="Consolas" w:hAnsi="Consolas"/>
                <w:sz w:val="18"/>
                <w:szCs w:val="18"/>
              </w:rPr>
              <w:t xml:space="preserve">    $recomendaciones[] = 'Temperatura elevada: recomienda hidratación frecuente y evitar exposición solar prolongada.';</w:t>
            </w:r>
          </w:p>
          <w:p>
            <w:pPr>
              <w:spacing w:after="20"/>
            </w:pPr>
            <w:r>
              <w:rPr>
                <w:rFonts w:ascii="Consolas" w:cs="Consolas" w:eastAsia="Consolas" w:hAnsi="Consolas"/>
                <w:sz w:val="18"/>
                <w:szCs w:val="18"/>
              </w:rPr>
              <w:t xml:space="preserve">} elseif ($temp &lt;= 12) {</w:t>
            </w:r>
          </w:p>
          <w:p>
            <w:pPr>
              <w:spacing w:after="20"/>
            </w:pPr>
            <w:r>
              <w:rPr>
                <w:rFonts w:ascii="Consolas" w:cs="Consolas" w:eastAsia="Consolas" w:hAnsi="Consolas"/>
                <w:sz w:val="18"/>
                <w:szCs w:val="18"/>
              </w:rPr>
              <w:t xml:space="preserve">    $recomendaciones[] = 'Temperatura baja: refuerza precauciones contra enfermedades respiratorias.';</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if (strpos($condicion, 'rain') !== false) {</w:t>
            </w:r>
          </w:p>
          <w:p>
            <w:pPr>
              <w:spacing w:after="20"/>
            </w:pPr>
            <w:r>
              <w:rPr>
                <w:rFonts w:ascii="Consolas" w:cs="Consolas" w:eastAsia="Consolas" w:hAnsi="Consolas"/>
                <w:sz w:val="18"/>
                <w:szCs w:val="18"/>
              </w:rPr>
              <w:t xml:space="preserve">    $recomendaciones[] = 'Se esperan lluvias: advierte sobre riesgo de resbalones en pacientes de edad avanzada.';</w:t>
            </w:r>
          </w:p>
          <w:p>
            <w:pPr>
              <w:spacing w:after="20"/>
            </w:pPr>
            <w:r>
              <w:rPr>
                <w:rFonts w:ascii="Consolas" w:cs="Consolas" w:eastAsia="Consolas" w:hAnsi="Consolas"/>
                <w:sz w:val="18"/>
                <w:szCs w:val="18"/>
              </w:rPr>
              <w:t xml:space="preserve">}</w:t>
            </w:r>
          </w:p>
        </w:tc>
      </w:tr>
    </w:tbl>
    <w:p>
      <w:pPr>
        <w:spacing w:after="260" w:before="100"/>
        <w:jc w:val="center"/>
      </w:pPr>
      <w:r>
        <w:rPr>
          <w:rFonts w:ascii="Calibri" w:cs="Calibri" w:eastAsia="Calibri" w:hAnsi="Calibri"/>
          <w:i/>
          <w:iCs/>
          <w:color w:val="595959"/>
          <w:sz w:val="18"/>
          <w:szCs w:val="18"/>
        </w:rPr>
        <w:t xml:space="preserve">Figura 18. Reglas de recomendación clínica según clima, integrations/OpenWeather.php.</w:t>
      </w:r>
    </w:p>
    <w:tbl>
      <w:tblPr>
        <w:tblW w:type="dxa" w:w="9350"/>
        <w:tblBorders>
          <w:top w:val="dashed" w:color="C55A11" w:sz="6"/>
          <w:left w:val="dashed" w:color="C55A11" w:sz="6"/>
          <w:bottom w:val="dashed" w:color="C55A11" w:sz="6"/>
          <w:right w:val="dashed" w:color="C55A11" w:sz="6"/>
          <w:insideH w:val="single" w:color="auto" w:sz="4"/>
          <w:insideV w:val="single" w:color="auto" w:sz="4"/>
        </w:tblBorders>
      </w:tblPr>
      <w:tblGrid>
        <w:gridCol w:w="9350"/>
      </w:tblGrid>
      <w:tr>
        <w:trPr>
          <w:cantSplit/>
        </w:trPr>
        <w:tc>
          <w:tcPr>
            <w:tcW w:type="dxa" w:w="9350"/>
            <w:shd w:fill="FFF2E8" w:val="clear"/>
            <w:tcMar>
              <w:top w:type="dxa" w:w="160"/>
              <w:left w:type="dxa" w:w="200"/>
              <w:bottom w:type="dxa" w:w="160"/>
              <w:right w:type="dxa" w:w="200"/>
            </w:tcMar>
            <w:vAlign w:val="center"/>
          </w:tcPr>
          <w:p>
            <w:pPr>
              <w:jc w:val="center"/>
            </w:pPr>
            <w:r>
              <w:rPr>
                <w:rFonts w:ascii="Calibri" w:cs="Calibri" w:eastAsia="Calibri" w:hAnsi="Calibri"/>
                <w:b/>
                <w:bCs/>
                <w:color w:val="C55A11"/>
                <w:sz w:val="20"/>
                <w:szCs w:val="20"/>
              </w:rPr>
              <w:t xml:space="preserve">[EVIDENCIA] </w:t>
            </w:r>
            <w:r>
              <w:rPr>
                <w:rFonts w:ascii="Calibri" w:cs="Calibri" w:eastAsia="Calibri" w:hAnsi="Calibri"/>
                <w:b/>
                <w:bCs/>
                <w:i/>
                <w:iCs/>
                <w:color w:val="C55A11"/>
                <w:sz w:val="20"/>
                <w:szCs w:val="20"/>
              </w:rPr>
              <w:t xml:space="preserve">Captura: módulo de Recomendaciones mostrando el clima actual y sugerencias generadas</w:t>
            </w:r>
          </w:p>
        </w:tc>
      </w:tr>
    </w:tbl>
    <w:p>
      <w:pPr>
        <w:pStyle w:val="Heading2"/>
        <w:spacing w:after="160" w:before="260"/>
      </w:pPr>
      <w:r>
        <w:rPr>
          <w:rFonts w:ascii="Cambria" w:cs="Cambria" w:eastAsia="Cambria" w:hAnsi="Cambria"/>
          <w:color w:val="2E74B5"/>
          <w:sz w:val="26"/>
          <w:szCs w:val="26"/>
        </w:rPr>
        <w:t xml:space="preserve">7.7 Ubicación de clínicas con Google Maps Embed API</w:t>
      </w:r>
    </w:p>
    <w:p>
      <w:pPr>
        <w:spacing w:after="160" w:line="276"/>
        <w:jc w:val="both"/>
      </w:pPr>
      <w:r>
        <w:rPr>
          <w:rFonts w:ascii="Calibri" w:cs="Calibri" w:eastAsia="Calibri" w:hAnsi="Calibri"/>
          <w:sz w:val="22"/>
          <w:szCs w:val="22"/>
        </w:rPr>
        <w:t xml:space="preserve">El módulo de Ubicación lista las sucursales registradas en la base de datos y, si la clave GOOGLE_MAPS_API_KEY está configurada, incrusta un mapa interactivo por cada sucursal mediante la Maps Embed API; en caso contrario, degrada de forma segura a un enlace directo a Google Maps sin romper la página:</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rPr>
          <w:cantSplit/>
        </w:trPr>
        <w:tc>
          <w:tcPr>
            <w:tcW w:type="dxa" w:w="9350"/>
            <w:shd w:fill="F2F2F2" w:val="clear"/>
            <w:tcMar>
              <w:top w:type="dxa" w:w="140"/>
              <w:left w:type="dxa" w:w="180"/>
              <w:bottom w:type="dxa" w:w="140"/>
              <w:right w:type="dxa" w:w="180"/>
            </w:tcMar>
          </w:tcPr>
          <w:p>
            <w:pPr>
              <w:spacing w:after="20"/>
            </w:pPr>
            <w:r>
              <w:rPr>
                <w:rFonts w:ascii="Consolas" w:cs="Consolas" w:eastAsia="Consolas" w:hAnsi="Consolas"/>
                <w:sz w:val="18"/>
                <w:szCs w:val="18"/>
              </w:rPr>
              <w:t xml:space="preserve">&lt;iframe src="https://www.google.com/maps/embed/v1/place?key={apiKey}</w:t>
            </w:r>
          </w:p>
          <w:p>
            <w:pPr>
              <w:spacing w:after="20"/>
            </w:pPr>
            <w:r>
              <w:rPr>
                <w:rFonts w:ascii="Consolas" w:cs="Consolas" w:eastAsia="Consolas" w:hAnsi="Consolas"/>
                <w:sz w:val="18"/>
                <w:szCs w:val="18"/>
              </w:rPr>
              <w:t xml:space="preserve">        &amp;q={direccion}" loading="lazy"</w:t>
            </w:r>
          </w:p>
          <w:p>
            <w:pPr>
              <w:spacing w:after="20"/>
            </w:pPr>
            <w:r>
              <w:rPr>
                <w:rFonts w:ascii="Consolas" w:cs="Consolas" w:eastAsia="Consolas" w:hAnsi="Consolas"/>
                <w:sz w:val="18"/>
                <w:szCs w:val="18"/>
              </w:rPr>
              <w:t xml:space="preserve">        referrerpolicy="no-referrer-when-downgrade"&gt;&lt;/iframe&gt;</w:t>
            </w:r>
          </w:p>
        </w:tc>
      </w:tr>
    </w:tbl>
    <w:p>
      <w:pPr>
        <w:spacing w:after="260" w:before="100"/>
        <w:jc w:val="center"/>
      </w:pPr>
      <w:r>
        <w:rPr>
          <w:rFonts w:ascii="Calibri" w:cs="Calibri" w:eastAsia="Calibri" w:hAnsi="Calibri"/>
          <w:i/>
          <w:iCs/>
          <w:color w:val="595959"/>
          <w:sz w:val="18"/>
          <w:szCs w:val="18"/>
        </w:rPr>
        <w:t xml:space="preserve">Figura 19. Incrustación del mapa por sucursal, ubicacion.php.</w:t>
      </w:r>
    </w:p>
    <w:tbl>
      <w:tblPr>
        <w:tblW w:type="dxa" w:w="9350"/>
        <w:tblBorders>
          <w:top w:val="dashed" w:color="C55A11" w:sz="6"/>
          <w:left w:val="dashed" w:color="C55A11" w:sz="6"/>
          <w:bottom w:val="dashed" w:color="C55A11" w:sz="6"/>
          <w:right w:val="dashed" w:color="C55A11" w:sz="6"/>
          <w:insideH w:val="single" w:color="auto" w:sz="4"/>
          <w:insideV w:val="single" w:color="auto" w:sz="4"/>
        </w:tblBorders>
      </w:tblPr>
      <w:tblGrid>
        <w:gridCol w:w="9350"/>
      </w:tblGrid>
      <w:tr>
        <w:trPr>
          <w:cantSplit/>
        </w:trPr>
        <w:tc>
          <w:tcPr>
            <w:tcW w:type="dxa" w:w="9350"/>
            <w:shd w:fill="FFF2E8" w:val="clear"/>
            <w:tcMar>
              <w:top w:type="dxa" w:w="160"/>
              <w:left w:type="dxa" w:w="200"/>
              <w:bottom w:type="dxa" w:w="160"/>
              <w:right w:type="dxa" w:w="200"/>
            </w:tcMar>
            <w:vAlign w:val="center"/>
          </w:tcPr>
          <w:p>
            <w:pPr>
              <w:jc w:val="center"/>
            </w:pPr>
            <w:r>
              <w:rPr>
                <w:rFonts w:ascii="Calibri" w:cs="Calibri" w:eastAsia="Calibri" w:hAnsi="Calibri"/>
                <w:b/>
                <w:bCs/>
                <w:color w:val="C55A11"/>
                <w:sz w:val="20"/>
                <w:szCs w:val="20"/>
              </w:rPr>
              <w:t xml:space="preserve">[EVIDENCIA] </w:t>
            </w:r>
            <w:r>
              <w:rPr>
                <w:rFonts w:ascii="Calibri" w:cs="Calibri" w:eastAsia="Calibri" w:hAnsi="Calibri"/>
                <w:b/>
                <w:bCs/>
                <w:i/>
                <w:iCs/>
                <w:color w:val="C55A11"/>
                <w:sz w:val="20"/>
                <w:szCs w:val="20"/>
              </w:rPr>
              <w:t xml:space="preserve">Captura: módulo de Ubicación mostrando el listado de sucursales con su mapa</w:t>
            </w:r>
          </w:p>
        </w:tc>
      </w:tr>
    </w:tbl>
    <w:p>
      <w:pPr>
        <w:pStyle w:val="Heading2"/>
        <w:spacing w:after="160" w:before="260"/>
      </w:pPr>
      <w:r>
        <w:rPr>
          <w:rFonts w:ascii="Cambria" w:cs="Cambria" w:eastAsia="Cambria" w:hAnsi="Cambria"/>
          <w:color w:val="2E74B5"/>
          <w:sz w:val="26"/>
          <w:szCs w:val="26"/>
        </w:rPr>
        <w:t xml:space="preserve">7.8 Aviso de privacidad simplificado (Art. 22, LFPDPPP)</w:t>
      </w:r>
    </w:p>
    <w:p>
      <w:pPr>
        <w:spacing w:after="160" w:line="276"/>
        <w:jc w:val="both"/>
      </w:pPr>
      <w:r>
        <w:rPr>
          <w:rFonts w:ascii="Calibri" w:cs="Calibri" w:eastAsia="Calibri" w:hAnsi="Calibri"/>
          <w:sz w:val="22"/>
          <w:szCs w:val="22"/>
        </w:rPr>
        <w:t xml:space="preserve">Se publicó un aviso de privacidad simplificado, accesible públicamente desde el pie de página de home.php sin necesidad de iniciar sesión, cumpliendo los cinco elementos mínimos del Artículo 22 del Reglamento de la Ley Federal de Protección de Datos Personales en Posesión de los Particulares: identidad del responsable, finalidades del tratamiento, mecanismo para conocer el aviso integral, medios para ejercer los derechos ARCO, y transferencias de datos (limitadas a SendGrid, Twilio y Google como encargados del tratamiento, únicamente para las finalidades ya descritas).</w:t>
      </w:r>
    </w:p>
    <w:p>
      <w:pPr>
        <w:spacing w:after="260" w:before="100"/>
        <w:jc w:val="center"/>
      </w:pPr>
      <w:r>
        <w:rPr>
          <w:rFonts w:ascii="Calibri" w:cs="Calibri" w:eastAsia="Calibri" w:hAnsi="Calibri"/>
          <w:i/>
          <w:iCs/>
          <w:color w:val="595959"/>
          <w:sz w:val="18"/>
          <w:szCs w:val="18"/>
        </w:rPr>
        <w:t xml:space="preserve">Figura 20. Aviso de privacidad simplificado, aviso_privacidad.php.</w:t>
      </w:r>
    </w:p>
    <w:tbl>
      <w:tblPr>
        <w:tblW w:type="dxa" w:w="9350"/>
        <w:tblBorders>
          <w:top w:val="dashed" w:color="C55A11" w:sz="6"/>
          <w:left w:val="dashed" w:color="C55A11" w:sz="6"/>
          <w:bottom w:val="dashed" w:color="C55A11" w:sz="6"/>
          <w:right w:val="dashed" w:color="C55A11" w:sz="6"/>
          <w:insideH w:val="single" w:color="auto" w:sz="4"/>
          <w:insideV w:val="single" w:color="auto" w:sz="4"/>
        </w:tblBorders>
      </w:tblPr>
      <w:tblGrid>
        <w:gridCol w:w="9350"/>
      </w:tblGrid>
      <w:tr>
        <w:trPr>
          <w:cantSplit/>
        </w:trPr>
        <w:tc>
          <w:tcPr>
            <w:tcW w:type="dxa" w:w="9350"/>
            <w:shd w:fill="FFF2E8" w:val="clear"/>
            <w:tcMar>
              <w:top w:type="dxa" w:w="160"/>
              <w:left w:type="dxa" w:w="200"/>
              <w:bottom w:type="dxa" w:w="160"/>
              <w:right w:type="dxa" w:w="200"/>
            </w:tcMar>
            <w:vAlign w:val="center"/>
          </w:tcPr>
          <w:p>
            <w:pPr>
              <w:jc w:val="center"/>
            </w:pPr>
            <w:r>
              <w:rPr>
                <w:rFonts w:ascii="Calibri" w:cs="Calibri" w:eastAsia="Calibri" w:hAnsi="Calibri"/>
                <w:b/>
                <w:bCs/>
                <w:color w:val="C55A11"/>
                <w:sz w:val="20"/>
                <w:szCs w:val="20"/>
              </w:rPr>
              <w:t xml:space="preserve">[EVIDENCIA] </w:t>
            </w:r>
            <w:r>
              <w:rPr>
                <w:rFonts w:ascii="Calibri" w:cs="Calibri" w:eastAsia="Calibri" w:hAnsi="Calibri"/>
                <w:b/>
                <w:bCs/>
                <w:i/>
                <w:iCs/>
                <w:color w:val="C55A11"/>
                <w:sz w:val="20"/>
                <w:szCs w:val="20"/>
              </w:rPr>
              <w:t xml:space="preserve">Captura: página de Aviso de Privacidad renderizada en el navegador</w:t>
            </w:r>
          </w:p>
        </w:tc>
      </w:tr>
    </w:tbl>
    <w:p>
      <w:pPr>
        <w:pStyle w:val="Heading2"/>
        <w:spacing w:after="160" w:before="260"/>
      </w:pPr>
      <w:r>
        <w:rPr>
          <w:rFonts w:ascii="Cambria" w:cs="Cambria" w:eastAsia="Cambria" w:hAnsi="Cambria"/>
          <w:color w:val="2E74B5"/>
          <w:sz w:val="26"/>
          <w:szCs w:val="26"/>
        </w:rPr>
        <w:t xml:space="preserve">7.9 Autoevaluación OWASP ASVS Nivel 1</w:t>
      </w:r>
    </w:p>
    <w:p>
      <w:pPr>
        <w:spacing w:after="160" w:line="276"/>
        <w:jc w:val="both"/>
      </w:pPr>
      <w:r>
        <w:rPr>
          <w:rFonts w:ascii="Calibri" w:cs="Calibri" w:eastAsia="Calibri" w:hAnsi="Calibri"/>
          <w:sz w:val="22"/>
          <w:szCs w:val="22"/>
        </w:rPr>
        <w:t xml:space="preserve">Complementando la autoevaluación de OWASP Top 10 de la sección 4, se realizó una autoevaluación contra los controles de OWASP ASVS (Application Security Verification Standard) Nivel 1, el nivel mínimo recomendado para cualquier aplicación web:</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50"/>
      </w:tblGrid>
      <w:tr>
        <w:trPr>
          <w:tblHeader/>
        </w:trPr>
        <w:tc>
          <w:tcPr>
            <w:tcW w:type="dxa" w:w="1800"/>
            <w:shd w:fill="00843D" w:val="clear"/>
            <w:tcMar>
              <w:top w:type="dxa" w:w="100"/>
              <w:left w:type="dxa" w:w="120"/>
              <w:bottom w:type="dxa" w:w="100"/>
              <w:right w:type="dxa" w:w="120"/>
            </w:tcMar>
          </w:tcPr>
          <w:p>
            <w:r>
              <w:rPr>
                <w:rFonts w:ascii="Calibri" w:cs="Calibri" w:eastAsia="Calibri" w:hAnsi="Calibri"/>
                <w:b/>
                <w:bCs/>
                <w:color w:val="FFFFFF"/>
                <w:sz w:val="20"/>
                <w:szCs w:val="20"/>
              </w:rPr>
              <w:t xml:space="preserve">Categoría ASVS</w:t>
            </w:r>
          </w:p>
        </w:tc>
        <w:tc>
          <w:tcPr>
            <w:tcW w:type="dxa" w:w="3600"/>
            <w:shd w:fill="00843D" w:val="clear"/>
            <w:tcMar>
              <w:top w:type="dxa" w:w="100"/>
              <w:left w:type="dxa" w:w="120"/>
              <w:bottom w:type="dxa" w:w="100"/>
              <w:right w:type="dxa" w:w="120"/>
            </w:tcMar>
          </w:tcPr>
          <w:p>
            <w:r>
              <w:rPr>
                <w:rFonts w:ascii="Calibri" w:cs="Calibri" w:eastAsia="Calibri" w:hAnsi="Calibri"/>
                <w:b/>
                <w:bCs/>
                <w:color w:val="FFFFFF"/>
                <w:sz w:val="20"/>
                <w:szCs w:val="20"/>
              </w:rPr>
              <w:t xml:space="preserve">Requisito clave</w:t>
            </w:r>
          </w:p>
        </w:tc>
        <w:tc>
          <w:tcPr>
            <w:tcW w:type="dxa" w:w="3950"/>
            <w:shd w:fill="00843D" w:val="clear"/>
            <w:tcMar>
              <w:top w:type="dxa" w:w="100"/>
              <w:left w:type="dxa" w:w="120"/>
              <w:bottom w:type="dxa" w:w="100"/>
              <w:right w:type="dxa" w:w="120"/>
            </w:tcMar>
          </w:tcPr>
          <w:p>
            <w:r>
              <w:rPr>
                <w:rFonts w:ascii="Calibri" w:cs="Calibri" w:eastAsia="Calibri" w:hAnsi="Calibri"/>
                <w:b/>
                <w:bCs/>
                <w:color w:val="FFFFFF"/>
                <w:sz w:val="20"/>
                <w:szCs w:val="20"/>
              </w:rPr>
              <w:t xml:space="preserve">Estado</w:t>
            </w:r>
          </w:p>
        </w:tc>
      </w:tr>
      <w:tr>
        <w:tc>
          <w:tcPr>
            <w:tcW w:type="dxa" w:w="1800"/>
            <w:tcMar>
              <w:top w:type="dxa" w:w="90"/>
              <w:left w:type="dxa" w:w="120"/>
              <w:bottom w:type="dxa" w:w="90"/>
              <w:right w:type="dxa" w:w="120"/>
            </w:tcMar>
          </w:tcPr>
          <w:p>
            <w:r>
              <w:rPr>
                <w:rFonts w:ascii="Calibri" w:cs="Calibri" w:eastAsia="Calibri" w:hAnsi="Calibri"/>
                <w:sz w:val="20"/>
                <w:szCs w:val="20"/>
              </w:rPr>
              <w:t xml:space="preserve">V2 Autenticación</w:t>
            </w:r>
          </w:p>
        </w:tc>
        <w:tc>
          <w:tcPr>
            <w:tcW w:type="dxa" w:w="3600"/>
            <w:tcMar>
              <w:top w:type="dxa" w:w="90"/>
              <w:left w:type="dxa" w:w="120"/>
              <w:bottom w:type="dxa" w:w="90"/>
              <w:right w:type="dxa" w:w="120"/>
            </w:tcMar>
          </w:tcPr>
          <w:p>
            <w:r>
              <w:rPr>
                <w:rFonts w:ascii="Calibri" w:cs="Calibri" w:eastAsia="Calibri" w:hAnsi="Calibri"/>
                <w:sz w:val="20"/>
                <w:szCs w:val="20"/>
              </w:rPr>
              <w:t xml:space="preserve">Hash fuerte de contraseñas y 2FA disponible</w:t>
            </w:r>
          </w:p>
        </w:tc>
        <w:tc>
          <w:tcPr>
            <w:tcW w:type="dxa" w:w="3950"/>
            <w:tcMar>
              <w:top w:type="dxa" w:w="90"/>
              <w:left w:type="dxa" w:w="120"/>
              <w:bottom w:type="dxa" w:w="90"/>
              <w:right w:type="dxa" w:w="120"/>
            </w:tcMar>
          </w:tcPr>
          <w:p>
            <w:r>
              <w:rPr>
                <w:rFonts w:ascii="Calibri" w:cs="Calibri" w:eastAsia="Calibri" w:hAnsi="Calibri"/>
                <w:sz w:val="20"/>
                <w:szCs w:val="20"/>
              </w:rPr>
              <w:t xml:space="preserve">Cumplido (Bcrypt + OTP Twilio)</w:t>
            </w:r>
          </w:p>
        </w:tc>
      </w:tr>
      <w:tr>
        <w:tc>
          <w:tcPr>
            <w:tcW w:type="dxa" w:w="1800"/>
            <w:tcMar>
              <w:top w:type="dxa" w:w="90"/>
              <w:left w:type="dxa" w:w="120"/>
              <w:bottom w:type="dxa" w:w="90"/>
              <w:right w:type="dxa" w:w="120"/>
            </w:tcMar>
          </w:tcPr>
          <w:p>
            <w:r>
              <w:rPr>
                <w:rFonts w:ascii="Calibri" w:cs="Calibri" w:eastAsia="Calibri" w:hAnsi="Calibri"/>
                <w:sz w:val="20"/>
                <w:szCs w:val="20"/>
              </w:rPr>
              <w:t xml:space="preserve">V3 Gestión de sesión</w:t>
            </w:r>
          </w:p>
        </w:tc>
        <w:tc>
          <w:tcPr>
            <w:tcW w:type="dxa" w:w="3600"/>
            <w:tcMar>
              <w:top w:type="dxa" w:w="90"/>
              <w:left w:type="dxa" w:w="120"/>
              <w:bottom w:type="dxa" w:w="90"/>
              <w:right w:type="dxa" w:w="120"/>
            </w:tcMar>
          </w:tcPr>
          <w:p>
            <w:r>
              <w:rPr>
                <w:rFonts w:ascii="Calibri" w:cs="Calibri" w:eastAsia="Calibri" w:hAnsi="Calibri"/>
                <w:sz w:val="20"/>
                <w:szCs w:val="20"/>
              </w:rPr>
              <w:t xml:space="preserve">Regeneración de ID de sesión y expiración por inactividad</w:t>
            </w:r>
          </w:p>
        </w:tc>
        <w:tc>
          <w:tcPr>
            <w:tcW w:type="dxa" w:w="3950"/>
            <w:tcMar>
              <w:top w:type="dxa" w:w="90"/>
              <w:left w:type="dxa" w:w="120"/>
              <w:bottom w:type="dxa" w:w="90"/>
              <w:right w:type="dxa" w:w="120"/>
            </w:tcMar>
          </w:tcPr>
          <w:p>
            <w:r>
              <w:rPr>
                <w:rFonts w:ascii="Calibri" w:cs="Calibri" w:eastAsia="Calibri" w:hAnsi="Calibri"/>
                <w:sz w:val="20"/>
                <w:szCs w:val="20"/>
              </w:rPr>
              <w:t xml:space="preserve">Cumplido (session_regenerate_id, SESSION_TIMEOUT)</w:t>
            </w:r>
          </w:p>
        </w:tc>
      </w:tr>
      <w:tr>
        <w:tc>
          <w:tcPr>
            <w:tcW w:type="dxa" w:w="1800"/>
            <w:tcMar>
              <w:top w:type="dxa" w:w="90"/>
              <w:left w:type="dxa" w:w="120"/>
              <w:bottom w:type="dxa" w:w="90"/>
              <w:right w:type="dxa" w:w="120"/>
            </w:tcMar>
          </w:tcPr>
          <w:p>
            <w:r>
              <w:rPr>
                <w:rFonts w:ascii="Calibri" w:cs="Calibri" w:eastAsia="Calibri" w:hAnsi="Calibri"/>
                <w:sz w:val="20"/>
                <w:szCs w:val="20"/>
              </w:rPr>
              <w:t xml:space="preserve">V4 Control de acceso</w:t>
            </w:r>
          </w:p>
        </w:tc>
        <w:tc>
          <w:tcPr>
            <w:tcW w:type="dxa" w:w="3600"/>
            <w:tcMar>
              <w:top w:type="dxa" w:w="90"/>
              <w:left w:type="dxa" w:w="120"/>
              <w:bottom w:type="dxa" w:w="90"/>
              <w:right w:type="dxa" w:w="120"/>
            </w:tcMar>
          </w:tcPr>
          <w:p>
            <w:r>
              <w:rPr>
                <w:rFonts w:ascii="Calibri" w:cs="Calibri" w:eastAsia="Calibri" w:hAnsi="Calibri"/>
                <w:sz w:val="20"/>
                <w:szCs w:val="20"/>
              </w:rPr>
              <w:t xml:space="preserve">Verificación de autorización en cada endpoint sensible</w:t>
            </w:r>
          </w:p>
        </w:tc>
        <w:tc>
          <w:tcPr>
            <w:tcW w:type="dxa" w:w="3950"/>
            <w:tcMar>
              <w:top w:type="dxa" w:w="90"/>
              <w:left w:type="dxa" w:w="120"/>
              <w:bottom w:type="dxa" w:w="90"/>
              <w:right w:type="dxa" w:w="120"/>
            </w:tcMar>
          </w:tcPr>
          <w:p>
            <w:r>
              <w:rPr>
                <w:rFonts w:ascii="Calibri" w:cs="Calibri" w:eastAsia="Calibri" w:hAnsi="Calibri"/>
                <w:sz w:val="20"/>
                <w:szCs w:val="20"/>
              </w:rPr>
              <w:t xml:space="preserve">Cumplido (verificarSesion())</w:t>
            </w:r>
          </w:p>
        </w:tc>
      </w:tr>
      <w:tr>
        <w:tc>
          <w:tcPr>
            <w:tcW w:type="dxa" w:w="1800"/>
            <w:tcMar>
              <w:top w:type="dxa" w:w="90"/>
              <w:left w:type="dxa" w:w="120"/>
              <w:bottom w:type="dxa" w:w="90"/>
              <w:right w:type="dxa" w:w="120"/>
            </w:tcMar>
          </w:tcPr>
          <w:p>
            <w:r>
              <w:rPr>
                <w:rFonts w:ascii="Calibri" w:cs="Calibri" w:eastAsia="Calibri" w:hAnsi="Calibri"/>
                <w:sz w:val="20"/>
                <w:szCs w:val="20"/>
              </w:rPr>
              <w:t xml:space="preserve">V5 Validación de entradas</w:t>
            </w:r>
          </w:p>
        </w:tc>
        <w:tc>
          <w:tcPr>
            <w:tcW w:type="dxa" w:w="3600"/>
            <w:tcMar>
              <w:top w:type="dxa" w:w="90"/>
              <w:left w:type="dxa" w:w="120"/>
              <w:bottom w:type="dxa" w:w="90"/>
              <w:right w:type="dxa" w:w="120"/>
            </w:tcMar>
          </w:tcPr>
          <w:p>
            <w:r>
              <w:rPr>
                <w:rFonts w:ascii="Calibri" w:cs="Calibri" w:eastAsia="Calibri" w:hAnsi="Calibri"/>
                <w:sz w:val="20"/>
                <w:szCs w:val="20"/>
              </w:rPr>
              <w:t xml:space="preserve">Sanitización y prepared statements</w:t>
            </w:r>
          </w:p>
        </w:tc>
        <w:tc>
          <w:tcPr>
            <w:tcW w:type="dxa" w:w="3950"/>
            <w:tcMar>
              <w:top w:type="dxa" w:w="90"/>
              <w:left w:type="dxa" w:w="120"/>
              <w:bottom w:type="dxa" w:w="90"/>
              <w:right w:type="dxa" w:w="120"/>
            </w:tcMar>
          </w:tcPr>
          <w:p>
            <w:r>
              <w:rPr>
                <w:rFonts w:ascii="Calibri" w:cs="Calibri" w:eastAsia="Calibri" w:hAnsi="Calibri"/>
                <w:sz w:val="20"/>
                <w:szCs w:val="20"/>
              </w:rPr>
              <w:t xml:space="preserve">Cumplido (limpiar(), mysqli prepared statements)</w:t>
            </w:r>
          </w:p>
        </w:tc>
      </w:tr>
      <w:tr>
        <w:tc>
          <w:tcPr>
            <w:tcW w:type="dxa" w:w="1800"/>
            <w:tcMar>
              <w:top w:type="dxa" w:w="90"/>
              <w:left w:type="dxa" w:w="120"/>
              <w:bottom w:type="dxa" w:w="90"/>
              <w:right w:type="dxa" w:w="120"/>
            </w:tcMar>
          </w:tcPr>
          <w:p>
            <w:r>
              <w:rPr>
                <w:rFonts w:ascii="Calibri" w:cs="Calibri" w:eastAsia="Calibri" w:hAnsi="Calibri"/>
                <w:sz w:val="20"/>
                <w:szCs w:val="20"/>
              </w:rPr>
              <w:t xml:space="preserve">V9 Comunicaciones</w:t>
            </w:r>
          </w:p>
        </w:tc>
        <w:tc>
          <w:tcPr>
            <w:tcW w:type="dxa" w:w="3600"/>
            <w:tcMar>
              <w:top w:type="dxa" w:w="90"/>
              <w:left w:type="dxa" w:w="120"/>
              <w:bottom w:type="dxa" w:w="90"/>
              <w:right w:type="dxa" w:w="120"/>
            </w:tcMar>
          </w:tcPr>
          <w:p>
            <w:r>
              <w:rPr>
                <w:rFonts w:ascii="Calibri" w:cs="Calibri" w:eastAsia="Calibri" w:hAnsi="Calibri"/>
                <w:sz w:val="20"/>
                <w:szCs w:val="20"/>
              </w:rPr>
              <w:t xml:space="preserve">TLS para datos sensibles en tránsito</w:t>
            </w:r>
          </w:p>
        </w:tc>
        <w:tc>
          <w:tcPr>
            <w:tcW w:type="dxa" w:w="3950"/>
            <w:tcMar>
              <w:top w:type="dxa" w:w="90"/>
              <w:left w:type="dxa" w:w="120"/>
              <w:bottom w:type="dxa" w:w="90"/>
              <w:right w:type="dxa" w:w="120"/>
            </w:tcMar>
          </w:tcPr>
          <w:p>
            <w:r>
              <w:rPr>
                <w:rFonts w:ascii="Calibri" w:cs="Calibri" w:eastAsia="Calibri" w:hAnsi="Calibri"/>
                <w:sz w:val="20"/>
                <w:szCs w:val="20"/>
              </w:rPr>
              <w:t xml:space="preserve">Cumplido en local (ver 7.10)</w:t>
            </w:r>
          </w:p>
        </w:tc>
      </w:tr>
      <w:tr>
        <w:tc>
          <w:tcPr>
            <w:tcW w:type="dxa" w:w="1800"/>
            <w:tcMar>
              <w:top w:type="dxa" w:w="90"/>
              <w:left w:type="dxa" w:w="120"/>
              <w:bottom w:type="dxa" w:w="90"/>
              <w:right w:type="dxa" w:w="120"/>
            </w:tcMar>
          </w:tcPr>
          <w:p>
            <w:r>
              <w:rPr>
                <w:rFonts w:ascii="Calibri" w:cs="Calibri" w:eastAsia="Calibri" w:hAnsi="Calibri"/>
                <w:sz w:val="20"/>
                <w:szCs w:val="20"/>
              </w:rPr>
              <w:t xml:space="preserve">V14 Configuración</w:t>
            </w:r>
          </w:p>
        </w:tc>
        <w:tc>
          <w:tcPr>
            <w:tcW w:type="dxa" w:w="3600"/>
            <w:tcMar>
              <w:top w:type="dxa" w:w="90"/>
              <w:left w:type="dxa" w:w="120"/>
              <w:bottom w:type="dxa" w:w="90"/>
              <w:right w:type="dxa" w:w="120"/>
            </w:tcMar>
          </w:tcPr>
          <w:p>
            <w:r>
              <w:rPr>
                <w:rFonts w:ascii="Calibri" w:cs="Calibri" w:eastAsia="Calibri" w:hAnsi="Calibri"/>
                <w:sz w:val="20"/>
                <w:szCs w:val="20"/>
              </w:rPr>
              <w:t xml:space="preserve">Cabeceras de seguridad HTTP</w:t>
            </w:r>
          </w:p>
        </w:tc>
        <w:tc>
          <w:tcPr>
            <w:tcW w:type="dxa" w:w="3950"/>
            <w:tcMar>
              <w:top w:type="dxa" w:w="90"/>
              <w:left w:type="dxa" w:w="120"/>
              <w:bottom w:type="dxa" w:w="90"/>
              <w:right w:type="dxa" w:w="120"/>
            </w:tcMar>
          </w:tcPr>
          <w:p>
            <w:r>
              <w:rPr>
                <w:rFonts w:ascii="Calibri" w:cs="Calibri" w:eastAsia="Calibri" w:hAnsi="Calibri"/>
                <w:sz w:val="20"/>
                <w:szCs w:val="20"/>
              </w:rPr>
              <w:t xml:space="preserve">Cumplido (X-Frame-Options, X-Content-Type-Options)</w:t>
            </w:r>
          </w:p>
        </w:tc>
      </w:tr>
    </w:tbl>
    <w:p>
      <w:pPr>
        <w:spacing w:after="260" w:before="100"/>
        <w:jc w:val="center"/>
      </w:pPr>
      <w:r>
        <w:rPr>
          <w:rFonts w:ascii="Calibri" w:cs="Calibri" w:eastAsia="Calibri" w:hAnsi="Calibri"/>
          <w:i/>
          <w:iCs/>
          <w:color w:val="595959"/>
          <w:sz w:val="18"/>
          <w:szCs w:val="18"/>
        </w:rPr>
        <w:t xml:space="preserve">Tabla 1. Autoevaluación resumida contra OWASP ASVS Nivel 1.</w:t>
      </w:r>
    </w:p>
    <w:p>
      <w:pPr>
        <w:pStyle w:val="Heading2"/>
        <w:spacing w:after="160" w:before="260"/>
      </w:pPr>
      <w:r>
        <w:rPr>
          <w:rFonts w:ascii="Cambria" w:cs="Cambria" w:eastAsia="Cambria" w:hAnsi="Cambria"/>
          <w:color w:val="2E74B5"/>
          <w:sz w:val="26"/>
          <w:szCs w:val="26"/>
        </w:rPr>
        <w:t xml:space="preserve">7.10 TLS/HTTPS local y evidencia de control de versiones en GitHub</w:t>
      </w:r>
    </w:p>
    <w:p>
      <w:pPr>
        <w:spacing w:after="160" w:line="276"/>
        <w:jc w:val="both"/>
      </w:pPr>
      <w:r>
        <w:rPr>
          <w:rFonts w:ascii="Calibri" w:cs="Calibri" w:eastAsia="Calibri" w:hAnsi="Calibri"/>
          <w:sz w:val="22"/>
          <w:szCs w:val="22"/>
        </w:rPr>
        <w:t xml:space="preserve">Se habilitó el módulo mod_ssl de Apache en el entorno local de XAMPP, sirviendo MediCore mediante https://localhost/ con el certificado autofirmado incluido, y se activó en el .htaccess raíz la redirección forzada de HTTP a HTTPS. Adicionalmente, la cookie de sesión se configuró con SameSite=Lax (en vez de Strict) para permitir que sobreviva la redirección de retorno del flujo de Google OAuth2, sin perder su función de mitigación CSRF en formularios.</w:t>
      </w:r>
    </w:p>
    <w:p>
      <w:pPr>
        <w:spacing w:after="160" w:line="276"/>
        <w:jc w:val="both"/>
      </w:pPr>
      <w:r>
        <w:rPr>
          <w:rFonts w:ascii="Calibri" w:cs="Calibri" w:eastAsia="Calibri" w:hAnsi="Calibri"/>
          <w:sz w:val="22"/>
          <w:szCs w:val="22"/>
        </w:rPr>
        <w:t xml:space="preserve">Todos los cambios descritos en esta ampliación —incluyendo la infraestructura de configuración de APIs (config/apis.php, .env.example), la migración de base de datos (database/schema.sql) y la documentación de seguridad (SECURITY.md)— fueron confirmados mediante commits y push exitosos al repositorio compartido del equipo en GitHub.</w:t>
      </w:r>
    </w:p>
    <w:tbl>
      <w:tblPr>
        <w:tblW w:type="dxa" w:w="9350"/>
        <w:tblBorders>
          <w:top w:val="dashed" w:color="C55A11" w:sz="6"/>
          <w:left w:val="dashed" w:color="C55A11" w:sz="6"/>
          <w:bottom w:val="dashed" w:color="C55A11" w:sz="6"/>
          <w:right w:val="dashed" w:color="C55A11" w:sz="6"/>
          <w:insideH w:val="single" w:color="auto" w:sz="4"/>
          <w:insideV w:val="single" w:color="auto" w:sz="4"/>
        </w:tblBorders>
      </w:tblPr>
      <w:tblGrid>
        <w:gridCol w:w="9350"/>
      </w:tblGrid>
      <w:tr>
        <w:trPr>
          <w:cantSplit/>
        </w:trPr>
        <w:tc>
          <w:tcPr>
            <w:tcW w:type="dxa" w:w="9350"/>
            <w:shd w:fill="FFF2E8" w:val="clear"/>
            <w:tcMar>
              <w:top w:type="dxa" w:w="160"/>
              <w:left w:type="dxa" w:w="200"/>
              <w:bottom w:type="dxa" w:w="160"/>
              <w:right w:type="dxa" w:w="200"/>
            </w:tcMar>
            <w:vAlign w:val="center"/>
          </w:tcPr>
          <w:p>
            <w:pPr>
              <w:jc w:val="center"/>
            </w:pPr>
            <w:r>
              <w:rPr>
                <w:rFonts w:ascii="Calibri" w:cs="Calibri" w:eastAsia="Calibri" w:hAnsi="Calibri"/>
                <w:b/>
                <w:bCs/>
                <w:color w:val="C55A11"/>
                <w:sz w:val="20"/>
                <w:szCs w:val="20"/>
              </w:rPr>
              <w:t xml:space="preserve">[EVIDENCIA] </w:t>
            </w:r>
            <w:r>
              <w:rPr>
                <w:rFonts w:ascii="Calibri" w:cs="Calibri" w:eastAsia="Calibri" w:hAnsi="Calibri"/>
                <w:b/>
                <w:bCs/>
                <w:i/>
                <w:iCs/>
                <w:color w:val="C55A11"/>
                <w:sz w:val="20"/>
                <w:szCs w:val="20"/>
              </w:rPr>
              <w:t xml:space="preserve">Captura: navegador mostrando https://localhost/MediCore_medicoAdmin/ funcionando</w:t>
            </w:r>
          </w:p>
        </w:tc>
      </w:tr>
    </w:tbl>
    <w:tbl>
      <w:tblPr>
        <w:tblW w:type="dxa" w:w="9350"/>
        <w:tblBorders>
          <w:top w:val="dashed" w:color="C55A11" w:sz="6"/>
          <w:left w:val="dashed" w:color="C55A11" w:sz="6"/>
          <w:bottom w:val="dashed" w:color="C55A11" w:sz="6"/>
          <w:right w:val="dashed" w:color="C55A11" w:sz="6"/>
          <w:insideH w:val="single" w:color="auto" w:sz="4"/>
          <w:insideV w:val="single" w:color="auto" w:sz="4"/>
        </w:tblBorders>
      </w:tblPr>
      <w:tblGrid>
        <w:gridCol w:w="9350"/>
      </w:tblGrid>
      <w:tr>
        <w:trPr>
          <w:cantSplit/>
        </w:trPr>
        <w:tc>
          <w:tcPr>
            <w:tcW w:type="dxa" w:w="9350"/>
            <w:shd w:fill="FFF2E8" w:val="clear"/>
            <w:tcMar>
              <w:top w:type="dxa" w:w="160"/>
              <w:left w:type="dxa" w:w="200"/>
              <w:bottom w:type="dxa" w:w="160"/>
              <w:right w:type="dxa" w:w="200"/>
            </w:tcMar>
            <w:vAlign w:val="center"/>
          </w:tcPr>
          <w:p>
            <w:pPr>
              <w:jc w:val="center"/>
            </w:pPr>
            <w:r>
              <w:rPr>
                <w:rFonts w:ascii="Calibri" w:cs="Calibri" w:eastAsia="Calibri" w:hAnsi="Calibri"/>
                <w:b/>
                <w:bCs/>
                <w:color w:val="C55A11"/>
                <w:sz w:val="20"/>
                <w:szCs w:val="20"/>
              </w:rPr>
              <w:t xml:space="preserve">[EVIDENCIA] </w:t>
            </w:r>
            <w:r>
              <w:rPr>
                <w:rFonts w:ascii="Calibri" w:cs="Calibri" w:eastAsia="Calibri" w:hAnsi="Calibri"/>
                <w:b/>
                <w:bCs/>
                <w:i/>
                <w:iCs/>
                <w:color w:val="C55A11"/>
                <w:sz w:val="20"/>
                <w:szCs w:val="20"/>
              </w:rPr>
              <w:t xml:space="preserve">Captura: terminal con 'git push origin main' exitoso</w:t>
            </w:r>
          </w:p>
        </w:tc>
      </w:tr>
    </w:tbl>
    <w:tbl>
      <w:tblPr>
        <w:tblW w:type="dxa" w:w="9350"/>
        <w:tblBorders>
          <w:top w:val="dashed" w:color="C55A11" w:sz="6"/>
          <w:left w:val="dashed" w:color="C55A11" w:sz="6"/>
          <w:bottom w:val="dashed" w:color="C55A11" w:sz="6"/>
          <w:right w:val="dashed" w:color="C55A11" w:sz="6"/>
          <w:insideH w:val="single" w:color="auto" w:sz="4"/>
          <w:insideV w:val="single" w:color="auto" w:sz="4"/>
        </w:tblBorders>
      </w:tblPr>
      <w:tblGrid>
        <w:gridCol w:w="9350"/>
      </w:tblGrid>
      <w:tr>
        <w:trPr>
          <w:cantSplit/>
        </w:trPr>
        <w:tc>
          <w:tcPr>
            <w:tcW w:type="dxa" w:w="9350"/>
            <w:shd w:fill="FFF2E8" w:val="clear"/>
            <w:tcMar>
              <w:top w:type="dxa" w:w="160"/>
              <w:left w:type="dxa" w:w="200"/>
              <w:bottom w:type="dxa" w:w="160"/>
              <w:right w:type="dxa" w:w="200"/>
            </w:tcMar>
            <w:vAlign w:val="center"/>
          </w:tcPr>
          <w:p>
            <w:pPr>
              <w:jc w:val="center"/>
            </w:pPr>
            <w:r>
              <w:rPr>
                <w:rFonts w:ascii="Calibri" w:cs="Calibri" w:eastAsia="Calibri" w:hAnsi="Calibri"/>
                <w:b/>
                <w:bCs/>
                <w:color w:val="C55A11"/>
                <w:sz w:val="20"/>
                <w:szCs w:val="20"/>
              </w:rPr>
              <w:t xml:space="preserve">[EVIDENCIA] </w:t>
            </w:r>
            <w:r>
              <w:rPr>
                <w:rFonts w:ascii="Calibri" w:cs="Calibri" w:eastAsia="Calibri" w:hAnsi="Calibri"/>
                <w:b/>
                <w:bCs/>
                <w:i/>
                <w:iCs/>
                <w:color w:val="C55A11"/>
                <w:sz w:val="20"/>
                <w:szCs w:val="20"/>
              </w:rPr>
              <w:t xml:space="preserve">Captura: repositorio de GitHub con los archivos de la ampliación ya subidos</w:t>
            </w:r>
          </w:p>
        </w:tc>
      </w:tr>
    </w:tbl>
    <w:p>
      <w:pPr>
        <w:pStyle w:val="Heading2"/>
        <w:spacing w:after="160" w:before="260"/>
      </w:pPr>
      <w:r>
        <w:rPr>
          <w:rFonts w:ascii="Cambria" w:cs="Cambria" w:eastAsia="Cambria" w:hAnsi="Cambria"/>
          <w:color w:val="2E74B5"/>
          <w:sz w:val="26"/>
          <w:szCs w:val="26"/>
        </w:rPr>
        <w:t xml:space="preserve">7.11 Cierre de la ampliación</w:t>
      </w:r>
    </w:p>
    <w:p>
      <w:pPr>
        <w:spacing w:after="160" w:line="276"/>
        <w:jc w:val="both"/>
      </w:pPr>
      <w:r>
        <w:rPr>
          <w:rFonts w:ascii="Calibri" w:cs="Calibri" w:eastAsia="Calibri" w:hAnsi="Calibri"/>
          <w:sz w:val="22"/>
          <w:szCs w:val="22"/>
        </w:rPr>
        <w:t xml:space="preserve">Esta ampliación demuestra que un mismo sistema puede combinar dos estrategias de seguridad complementarias —JWT para una API REST sin estado y sesiones seguras con RBAC para el panel web tradicional— sin conflicto entre ellas, siempre que ambas apliquen consistentemente cifrado de contraseñas, validación de entradas y control de acceso. La integración de cuatro APIs adicionales (Google OAuth2, Google Calendar, SendGrid y Twilio) amplía la cobertura de "Web Services de Terceros" del proyecto más allá de las tres ya documentadas en la sección 5, y el aviso de privacidad junto con la autoevaluación OWASP ASVS refuerzan el cumplimiento normativo y de buenas prácticas de seguridad iniciado en la Actividad 3.1.</w:t>
      </w:r>
    </w:p>
    <w:p>
      <w:pPr>
        <w:pStyle w:val="Heading1"/>
        <w:spacing w:after="200" w:before="320"/>
      </w:pPr>
      <w:r>
        <w:rPr>
          <w:rFonts w:ascii="Cambria" w:cs="Cambria" w:eastAsia="Cambria" w:hAnsi="Cambria"/>
          <w:color w:val="1F4E79"/>
          <w:sz w:val="32"/>
          <w:szCs w:val="32"/>
        </w:rPr>
        <w:t xml:space="preserve">8. Enlace al Repositorio</w:t>
      </w:r>
    </w:p>
    <w:p>
      <w:pPr>
        <w:spacing w:after="160" w:line="276"/>
        <w:jc w:val="both"/>
      </w:pPr>
      <w:r>
        <w:rPr>
          <w:rFonts w:ascii="Calibri" w:cs="Calibri" w:eastAsia="Calibri" w:hAnsi="Calibri"/>
          <w:sz w:val="22"/>
          <w:szCs w:val="22"/>
        </w:rPr>
        <w:t xml:space="preserve">El código fuente del proyecto se encuentra disponible en el siguiente repositorio de GitHub, en donde se puede observar la colaboración de todos los integrantes del equipo mediante los commits realizados:</w:t>
      </w:r>
    </w:p>
    <w:p>
      <w:pPr>
        <w:spacing w:after="240"/>
      </w:pPr>
      <w:r>
        <w:rPr>
          <w:rFonts w:ascii="Calibri" w:cs="Calibri" w:eastAsia="Calibri" w:hAnsi="Calibri"/>
          <w:b/>
          <w:bCs/>
          <w:color w:val="2E74B5"/>
          <w:sz w:val="22"/>
          <w:szCs w:val="22"/>
        </w:rPr>
        <w:t xml:space="preserve">https://github.com/AlexAP1115web/MediCore</w:t>
      </w:r>
    </w:p>
    <w:tbl>
      <w:tblPr>
        <w:tblW w:type="dxa" w:w="9350"/>
        <w:tblBorders>
          <w:top w:val="dashed" w:color="C55A11" w:sz="6"/>
          <w:left w:val="dashed" w:color="C55A11" w:sz="6"/>
          <w:bottom w:val="dashed" w:color="C55A11" w:sz="6"/>
          <w:right w:val="dashed" w:color="C55A11" w:sz="6"/>
          <w:insideH w:val="single" w:color="auto" w:sz="4"/>
          <w:insideV w:val="single" w:color="auto" w:sz="4"/>
        </w:tblBorders>
      </w:tblPr>
      <w:tblGrid>
        <w:gridCol w:w="9350"/>
      </w:tblGrid>
      <w:tr>
        <w:trPr>
          <w:cantSplit/>
        </w:trPr>
        <w:tc>
          <w:tcPr>
            <w:tcW w:type="dxa" w:w="9350"/>
            <w:shd w:fill="FFF2E8" w:val="clear"/>
            <w:tcMar>
              <w:top w:type="dxa" w:w="160"/>
              <w:left w:type="dxa" w:w="200"/>
              <w:bottom w:type="dxa" w:w="160"/>
              <w:right w:type="dxa" w:w="200"/>
            </w:tcMar>
            <w:vAlign w:val="center"/>
          </w:tcPr>
          <w:p>
            <w:pPr>
              <w:jc w:val="center"/>
            </w:pPr>
            <w:r>
              <w:rPr>
                <w:rFonts w:ascii="Calibri" w:cs="Calibri" w:eastAsia="Calibri" w:hAnsi="Calibri"/>
                <w:b/>
                <w:bCs/>
                <w:color w:val="C55A11"/>
                <w:sz w:val="20"/>
                <w:szCs w:val="20"/>
              </w:rPr>
              <w:t xml:space="preserve">[EVIDENCIA] </w:t>
            </w:r>
            <w:r>
              <w:rPr>
                <w:rFonts w:ascii="Calibri" w:cs="Calibri" w:eastAsia="Calibri" w:hAnsi="Calibri"/>
                <w:b/>
                <w:bCs/>
                <w:i/>
                <w:iCs/>
                <w:color w:val="C55A11"/>
                <w:sz w:val="20"/>
                <w:szCs w:val="20"/>
              </w:rPr>
              <w:t xml:space="preserve">Captura: repositorio de GitHub mostrando los commits de todos los integrantes del equipo</w:t>
            </w:r>
          </w:p>
        </w:tc>
      </w:tr>
    </w:tbl>
    <w:p>
      <w:pPr>
        <w:pStyle w:val="Heading1"/>
        <w:spacing w:after="200" w:before="320"/>
      </w:pPr>
      <w:r>
        <w:rPr>
          <w:rFonts w:ascii="Cambria" w:cs="Cambria" w:eastAsia="Cambria" w:hAnsi="Cambria"/>
          <w:color w:val="1F4E79"/>
          <w:sz w:val="32"/>
          <w:szCs w:val="32"/>
        </w:rPr>
        <w:t xml:space="preserve">9. Enlace al Video</w:t>
      </w:r>
    </w:p>
    <w:p>
      <w:pPr>
        <w:spacing w:after="160" w:line="276"/>
        <w:jc w:val="both"/>
      </w:pPr>
      <w:r>
        <w:rPr>
          <w:rFonts w:ascii="Calibri" w:cs="Calibri" w:eastAsia="Calibri" w:hAnsi="Calibri"/>
          <w:sz w:val="22"/>
          <w:szCs w:val="22"/>
        </w:rPr>
        <w:t xml:space="preserve">El siguiente video muestra fragmentos relevantes del código implementado en este producto y el funcionamiento de las principales funcionalidades desarrolladas (mínimo 3, máximo 5 minutos):</w:t>
      </w:r>
    </w:p>
    <w:tbl>
      <w:tblPr>
        <w:tblW w:type="dxa" w:w="9350"/>
        <w:tblBorders>
          <w:top w:val="single" w:color="C00000" w:sz="8"/>
          <w:left w:val="single" w:color="C00000" w:sz="8"/>
          <w:bottom w:val="single" w:color="C00000" w:sz="8"/>
          <w:right w:val="single" w:color="C00000" w:sz="8"/>
          <w:insideH w:val="single" w:color="auto" w:sz="4"/>
          <w:insideV w:val="single" w:color="auto" w:sz="4"/>
        </w:tblBorders>
      </w:tblPr>
      <w:tblGrid>
        <w:gridCol w:w="9350"/>
      </w:tblGrid>
      <w:tr>
        <w:trPr>
          <w:cantSplit/>
        </w:trPr>
        <w:tc>
          <w:tcPr>
            <w:tcW w:type="dxa" w:w="9350"/>
            <w:shd w:fill="FDE9E9" w:val="clear"/>
            <w:tcMar>
              <w:top w:type="dxa" w:w="160"/>
              <w:left w:type="dxa" w:w="200"/>
              <w:bottom w:type="dxa" w:w="160"/>
              <w:right w:type="dxa" w:w="200"/>
            </w:tcMar>
          </w:tcPr>
          <w:p>
            <w:pPr>
              <w:jc w:val="center"/>
            </w:pPr>
            <w:r>
              <w:rPr>
                <w:rFonts w:ascii="Calibri" w:cs="Calibri" w:eastAsia="Calibri" w:hAnsi="Calibri"/>
                <w:b/>
                <w:bCs/>
                <w:color w:val="C00000"/>
                <w:sz w:val="20"/>
                <w:szCs w:val="20"/>
              </w:rPr>
              <w:t xml:space="preserve">[!] OBLIGATORIO (10 puntos) — PEGAR AQUÍ EL ENLACE DEL VIDEO (YouTube no listado / Drive con acceso). Aún no se ha grabado ni enlazado.</w:t>
            </w:r>
          </w:p>
        </w:tc>
      </w:tr>
    </w:tbl>
    <w:p>
      <w:pPr>
        <w:pStyle w:val="Heading1"/>
        <w:spacing w:after="200" w:before="320"/>
      </w:pPr>
      <w:r>
        <w:rPr>
          <w:rFonts w:ascii="Cambria" w:cs="Cambria" w:eastAsia="Cambria" w:hAnsi="Cambria"/>
          <w:color w:val="1F4E79"/>
          <w:sz w:val="32"/>
          <w:szCs w:val="32"/>
        </w:rPr>
        <w:t xml:space="preserve">10. Conclusión</w:t>
      </w:r>
    </w:p>
    <w:p>
      <w:pPr>
        <w:spacing w:after="160" w:line="276"/>
        <w:jc w:val="both"/>
      </w:pPr>
      <w:r>
        <w:rPr>
          <w:rFonts w:ascii="Calibri" w:cs="Calibri" w:eastAsia="Calibri" w:hAnsi="Calibri"/>
          <w:sz w:val="22"/>
          <w:szCs w:val="22"/>
        </w:rPr>
        <w:t xml:space="preserve">El desarrollo del Producto 3 permitió fortalecer a MediCore con una base de seguridad sólida, integrando autenticación sin estado mediante JWT, autorización granular mediante RBAC y encabezados de seguridad HTTP que en conjunto reducen riesgos comunes de las aplicaciones web, aspecto crítico tratándose de un sistema que maneja información médica sensible.</w:t>
      </w:r>
    </w:p>
    <w:p>
      <w:pPr>
        <w:spacing w:after="160" w:line="276"/>
        <w:jc w:val="both"/>
      </w:pPr>
      <w:r>
        <w:rPr>
          <w:rFonts w:ascii="Calibri" w:cs="Calibri" w:eastAsia="Calibri" w:hAnsi="Calibri"/>
          <w:sz w:val="22"/>
          <w:szCs w:val="22"/>
        </w:rPr>
        <w:t xml:space="preserve">La integración de servicios de terceros como OpenWeatherMap y Daily.co demostró que delegar funcionalidades especializadas —clima y videoconferencia— resulta más eficiente y seguro que construir dichas soluciones desde cero, permitiendo al equipo concentrar el esfuerzo de desarrollo en la lógica propia del negocio. Asimismo, el registro auditable de las operaciones (recomendaciones entregadas, búsquedas de ubicaciones, sesiones de videollamada) se confirmó como una herramienta valiosa tanto para el cumplimiento normativo como para la detección de anomalías.</w:t>
      </w:r>
    </w:p>
    <w:p>
      <w:pPr>
        <w:spacing w:after="160" w:line="276"/>
        <w:jc w:val="both"/>
      </w:pPr>
      <w:r>
        <w:rPr>
          <w:rFonts w:ascii="Calibri" w:cs="Calibri" w:eastAsia="Calibri" w:hAnsi="Calibri"/>
          <w:sz w:val="22"/>
          <w:szCs w:val="22"/>
        </w:rPr>
        <w:t xml:space="preserve">La ampliación descrita en la sección 7 —Google OAuth2, Google Calendar, SendGrid, Twilio, Jitsi Meet, el aviso de privacidad y la autoevaluación OWASP ASVS— reforzó estas conclusiones desde un ángulo complementario: mostró que la seguridad de una aplicación no depende de un único mecanismo, sino de la combinación consistente de varios controles (cifrado, autenticación multifactor opcional, TLS, control de acceso y cumplimiento normativo) aplicados de forma transversal en todos los módulos del sistema, sin romper la funcionalidad existente.</w:t>
      </w:r>
    </w:p>
    <w:p>
      <w:pPr>
        <w:spacing w:after="160" w:line="276"/>
        <w:jc w:val="both"/>
      </w:pPr>
      <w:r>
        <w:rPr>
          <w:rFonts w:ascii="Calibri" w:cs="Calibri" w:eastAsia="Calibri" w:hAnsi="Calibri"/>
          <w:sz w:val="22"/>
          <w:szCs w:val="22"/>
        </w:rPr>
        <w:t xml:space="preserve">Como trabajo futuro se identifican tres mejoras prioritarias: la incorporación de autenticación de múltiples factores (MFA) obligatoria para cuentas de médicos y administradores, la firma digital de recetas mediante certificados X.509 para cumplir regulaciones más estrictas, y el cifrado de datos en reposo junto con límites de tasa (rate limiting) en endpoints sensibles como el inicio de sesión, con el fin de mitigar ataques de fuerza bruta.</w:t>
      </w:r>
    </w:p>
    <w:p>
      <w:pPr>
        <w:pStyle w:val="Heading1"/>
        <w:spacing w:after="200" w:before="320"/>
      </w:pPr>
      <w:r>
        <w:rPr>
          <w:rFonts w:ascii="Cambria" w:cs="Cambria" w:eastAsia="Cambria" w:hAnsi="Cambria"/>
          <w:color w:val="1F4E79"/>
          <w:sz w:val="32"/>
          <w:szCs w:val="32"/>
        </w:rPr>
        <w:t xml:space="preserve">11. Referencias</w:t>
      </w:r>
    </w:p>
    <w:p>
      <w:pPr>
        <w:pStyle w:val="ListParagraph"/>
        <w:numPr>
          <w:ilvl w:val="0"/>
          <w:numId w:val="3"/>
        </w:numPr>
        <w:spacing w:after="100"/>
      </w:pPr>
      <w:r>
        <w:rPr>
          <w:rFonts w:ascii="Calibri" w:cs="Calibri" w:eastAsia="Calibri" w:hAnsi="Calibri"/>
          <w:sz w:val="22"/>
          <w:szCs w:val="22"/>
        </w:rPr>
        <w:t xml:space="preserve">Jones, M., Bradley, J., &amp; Sakimura, N. (2015). JSON Web Token (JWT) (RFC 7519). Internet Engineering Task Force. https://www.rfc-editor.org/rfc/rfc7519</w:t>
      </w:r>
    </w:p>
    <w:p>
      <w:pPr>
        <w:pStyle w:val="ListParagraph"/>
        <w:numPr>
          <w:ilvl w:val="0"/>
          <w:numId w:val="3"/>
        </w:numPr>
        <w:spacing w:after="100"/>
      </w:pPr>
      <w:r>
        <w:rPr>
          <w:rFonts w:ascii="Calibri" w:cs="Calibri" w:eastAsia="Calibri" w:hAnsi="Calibri"/>
          <w:sz w:val="22"/>
          <w:szCs w:val="22"/>
        </w:rPr>
        <w:t xml:space="preserve">OWASP Foundation. (2023). OWASP Secure Headers Project. https://owasp.org/www-project-secure-headers/</w:t>
      </w:r>
    </w:p>
    <w:p>
      <w:pPr>
        <w:pStyle w:val="ListParagraph"/>
        <w:numPr>
          <w:ilvl w:val="0"/>
          <w:numId w:val="3"/>
        </w:numPr>
        <w:spacing w:after="100"/>
      </w:pPr>
      <w:r>
        <w:rPr>
          <w:rFonts w:ascii="Calibri" w:cs="Calibri" w:eastAsia="Calibri" w:hAnsi="Calibri"/>
          <w:sz w:val="22"/>
          <w:szCs w:val="22"/>
        </w:rPr>
        <w:t xml:space="preserve">OWASP Foundation. (2024). OWASP Application Security Verification Standard (ASVS) 4.0.3. https://owasp.org/www-project-application-security-verification-standard/</w:t>
      </w:r>
    </w:p>
    <w:p>
      <w:pPr>
        <w:pStyle w:val="ListParagraph"/>
        <w:numPr>
          <w:ilvl w:val="0"/>
          <w:numId w:val="3"/>
        </w:numPr>
        <w:spacing w:after="100"/>
      </w:pPr>
      <w:r>
        <w:rPr>
          <w:rFonts w:ascii="Calibri" w:cs="Calibri" w:eastAsia="Calibri" w:hAnsi="Calibri"/>
          <w:sz w:val="22"/>
          <w:szCs w:val="22"/>
        </w:rPr>
        <w:t xml:space="preserve">Daily.co. (2026). Daily API Reference. https://docs.daily.co/reference</w:t>
      </w:r>
    </w:p>
    <w:p>
      <w:pPr>
        <w:pStyle w:val="ListParagraph"/>
        <w:numPr>
          <w:ilvl w:val="0"/>
          <w:numId w:val="3"/>
        </w:numPr>
        <w:spacing w:after="100"/>
      </w:pPr>
      <w:r>
        <w:rPr>
          <w:rFonts w:ascii="Calibri" w:cs="Calibri" w:eastAsia="Calibri" w:hAnsi="Calibri"/>
          <w:sz w:val="22"/>
          <w:szCs w:val="22"/>
        </w:rPr>
        <w:t xml:space="preserve">OpenWeather. (2026). OpenWeatherMap API Documentation. https://openweathermap.org/api</w:t>
      </w:r>
    </w:p>
    <w:p>
      <w:pPr>
        <w:pStyle w:val="ListParagraph"/>
        <w:numPr>
          <w:ilvl w:val="0"/>
          <w:numId w:val="3"/>
        </w:numPr>
        <w:spacing w:after="100"/>
      </w:pPr>
      <w:r>
        <w:rPr>
          <w:rFonts w:ascii="Calibri" w:cs="Calibri" w:eastAsia="Calibri" w:hAnsi="Calibri"/>
          <w:sz w:val="22"/>
          <w:szCs w:val="22"/>
        </w:rPr>
        <w:t xml:space="preserve">OpenWeather. (2026). Current Weather Data API. https://openweathermap.org/current</w:t>
      </w:r>
    </w:p>
    <w:p>
      <w:pPr>
        <w:pStyle w:val="ListParagraph"/>
        <w:numPr>
          <w:ilvl w:val="0"/>
          <w:numId w:val="3"/>
        </w:numPr>
        <w:spacing w:after="100"/>
      </w:pPr>
      <w:r>
        <w:rPr>
          <w:rFonts w:ascii="Calibri" w:cs="Calibri" w:eastAsia="Calibri" w:hAnsi="Calibri"/>
          <w:sz w:val="22"/>
          <w:szCs w:val="22"/>
        </w:rPr>
        <w:t xml:space="preserve">Google Identity Platform. (2026). OAuth 2.0 for Web Server Applications. https://developers.google.com/identity/protocols/oauth2/web-server</w:t>
      </w:r>
    </w:p>
    <w:p>
      <w:pPr>
        <w:pStyle w:val="ListParagraph"/>
        <w:numPr>
          <w:ilvl w:val="0"/>
          <w:numId w:val="3"/>
        </w:numPr>
        <w:spacing w:after="100"/>
      </w:pPr>
      <w:r>
        <w:rPr>
          <w:rFonts w:ascii="Calibri" w:cs="Calibri" w:eastAsia="Calibri" w:hAnsi="Calibri"/>
          <w:sz w:val="22"/>
          <w:szCs w:val="22"/>
        </w:rPr>
        <w:t xml:space="preserve">Google. (2026). Google Calendar API Reference. https://developers.google.com/calendar/api</w:t>
      </w:r>
    </w:p>
    <w:p>
      <w:pPr>
        <w:pStyle w:val="ListParagraph"/>
        <w:numPr>
          <w:ilvl w:val="0"/>
          <w:numId w:val="3"/>
        </w:numPr>
        <w:spacing w:after="100"/>
      </w:pPr>
      <w:r>
        <w:rPr>
          <w:rFonts w:ascii="Calibri" w:cs="Calibri" w:eastAsia="Calibri" w:hAnsi="Calibri"/>
          <w:sz w:val="22"/>
          <w:szCs w:val="22"/>
        </w:rPr>
        <w:t xml:space="preserve">Twilio. (2026). Programmable Messaging API. https://www.twilio.com/docs/messaging</w:t>
      </w:r>
    </w:p>
    <w:p>
      <w:pPr>
        <w:pStyle w:val="ListParagraph"/>
        <w:numPr>
          <w:ilvl w:val="0"/>
          <w:numId w:val="3"/>
        </w:numPr>
        <w:spacing w:after="100"/>
      </w:pPr>
      <w:r>
        <w:rPr>
          <w:rFonts w:ascii="Calibri" w:cs="Calibri" w:eastAsia="Calibri" w:hAnsi="Calibri"/>
          <w:sz w:val="22"/>
          <w:szCs w:val="22"/>
        </w:rPr>
        <w:t xml:space="preserve">SendGrid. (2026). Send Email API v3 Reference. https://docs.sendgrid.com/api-reference/mail-send/mail-send</w:t>
      </w:r>
    </w:p>
    <w:p>
      <w:pPr>
        <w:pStyle w:val="ListParagraph"/>
        <w:numPr>
          <w:ilvl w:val="0"/>
          <w:numId w:val="3"/>
        </w:numPr>
        <w:spacing w:after="100"/>
      </w:pPr>
      <w:r>
        <w:rPr>
          <w:rFonts w:ascii="Calibri" w:cs="Calibri" w:eastAsia="Calibri" w:hAnsi="Calibri"/>
          <w:sz w:val="22"/>
          <w:szCs w:val="22"/>
        </w:rPr>
        <w:t xml:space="preserve">Jitsi. (2026). Jitsi Meet Handbook. https://jitsi.github.io/handbook/</w:t>
      </w:r>
    </w:p>
    <w:p>
      <w:pPr>
        <w:pStyle w:val="ListParagraph"/>
        <w:numPr>
          <w:ilvl w:val="0"/>
          <w:numId w:val="3"/>
        </w:numPr>
        <w:spacing w:after="100"/>
      </w:pPr>
      <w:r>
        <w:rPr>
          <w:rFonts w:ascii="Calibri" w:cs="Calibri" w:eastAsia="Calibri" w:hAnsi="Calibri"/>
          <w:sz w:val="22"/>
          <w:szCs w:val="22"/>
        </w:rPr>
        <w:t xml:space="preserve">U.S. Department of Health and Human Services. (2013). HIPAA Security Rule. https://www.hhs.gov/hipaa/for-professionals/security/index.html</w:t>
      </w:r>
    </w:p>
    <w:p>
      <w:pPr>
        <w:pStyle w:val="ListParagraph"/>
        <w:numPr>
          <w:ilvl w:val="0"/>
          <w:numId w:val="3"/>
        </w:numPr>
        <w:spacing w:after="100"/>
      </w:pPr>
      <w:r>
        <w:rPr>
          <w:rFonts w:ascii="Calibri" w:cs="Calibri" w:eastAsia="Calibri" w:hAnsi="Calibri"/>
          <w:sz w:val="22"/>
          <w:szCs w:val="22"/>
        </w:rPr>
        <w:t xml:space="preserve">Instituto Nacional de Transparencia, Acceso a la Información y Protección de Datos Personales (INAI). (2025). Reglamento de la Ley Federal de Protección de Datos Personales en Posesión de los Particulares, Art. 22. https://www.inai.org.mx</w:t>
      </w:r>
    </w:p>
    <w:p>
      <w:pPr>
        <w:pStyle w:val="ListParagraph"/>
        <w:numPr>
          <w:ilvl w:val="0"/>
          <w:numId w:val="3"/>
        </w:numPr>
        <w:spacing w:after="100"/>
      </w:pPr>
      <w:r>
        <w:rPr>
          <w:rFonts w:ascii="Calibri" w:cs="Calibri" w:eastAsia="Calibri" w:hAnsi="Calibri"/>
          <w:sz w:val="22"/>
          <w:szCs w:val="22"/>
        </w:rPr>
        <w:t xml:space="preserve">Gamma, E., Helm, R., Johnson, R., &amp; Vlissides, J. (1994). Design Patterns: Elements of Reusable Object-Oriented Software. Addison-Wesley.</w:t>
      </w:r>
    </w:p>
    <w:p>
      <w:pPr>
        <w:pStyle w:val="ListParagraph"/>
        <w:numPr>
          <w:ilvl w:val="0"/>
          <w:numId w:val="3"/>
        </w:numPr>
        <w:spacing w:after="100"/>
      </w:pPr>
      <w:r>
        <w:rPr>
          <w:rFonts w:ascii="Calibri" w:cs="Calibri" w:eastAsia="Calibri" w:hAnsi="Calibri"/>
          <w:sz w:val="22"/>
          <w:szCs w:val="22"/>
        </w:rPr>
        <w:t xml:space="preserve">Schwaber, K., &amp; Sutherland, J. (2020). La guía de Scrum: Las reglas del juego. Scrum.org.</w:t>
      </w:r>
    </w:p>
    <w:p>
      <w:pPr>
        <w:pStyle w:val="ListParagraph"/>
        <w:numPr>
          <w:ilvl w:val="0"/>
          <w:numId w:val="3"/>
        </w:numPr>
        <w:spacing w:after="100"/>
      </w:pPr>
      <w:r>
        <w:rPr>
          <w:rFonts w:ascii="Calibri" w:cs="Calibri" w:eastAsia="Calibri" w:hAnsi="Calibri"/>
          <w:sz w:val="22"/>
          <w:szCs w:val="22"/>
        </w:rPr>
        <w:t xml:space="preserve">Git. (2026). Git Documentation. https://git-scm.com</w:t>
      </w:r>
    </w:p>
    <w:p>
      <w:pPr>
        <w:pStyle w:val="ListParagraph"/>
        <w:numPr>
          <w:ilvl w:val="0"/>
          <w:numId w:val="3"/>
        </w:numPr>
        <w:spacing w:after="100"/>
      </w:pPr>
      <w:r>
        <w:rPr>
          <w:rFonts w:ascii="Calibri" w:cs="Calibri" w:eastAsia="Calibri" w:hAnsi="Calibri"/>
          <w:sz w:val="22"/>
          <w:szCs w:val="22"/>
        </w:rPr>
        <w:t xml:space="preserve">GitHub. (2026). GitHub Documentation. https://docs.github.com</w:t>
      </w:r>
    </w:p>
    <w:p>
      <w:pPr>
        <w:pStyle w:val="ListParagraph"/>
        <w:numPr>
          <w:ilvl w:val="0"/>
          <w:numId w:val="3"/>
        </w:numPr>
        <w:spacing w:after="100"/>
      </w:pPr>
      <w:r>
        <w:rPr>
          <w:rFonts w:ascii="Calibri" w:cs="Calibri" w:eastAsia="Calibri" w:hAnsi="Calibri"/>
          <w:sz w:val="22"/>
          <w:szCs w:val="22"/>
        </w:rPr>
        <w:t xml:space="preserve">Chacon, S., &amp; Straub, B. (2024). Pro Git (2a ed.). Apress.</w:t>
      </w:r>
    </w:p>
    <w:p>
      <w:pPr>
        <w:pStyle w:val="ListParagraph"/>
        <w:numPr>
          <w:ilvl w:val="0"/>
          <w:numId w:val="3"/>
        </w:numPr>
        <w:spacing w:after="100"/>
      </w:pPr>
      <w:r>
        <w:rPr>
          <w:rFonts w:ascii="Calibri" w:cs="Calibri" w:eastAsia="Calibri" w:hAnsi="Calibri"/>
          <w:sz w:val="22"/>
          <w:szCs w:val="22"/>
        </w:rPr>
        <w:t xml:space="preserve">PHP Documentation Team. (2025). PHP Manual. https://www.php.net/docs.php</w:t>
      </w:r>
    </w:p>
    <w:p>
      <w:pPr>
        <w:pStyle w:val="ListParagraph"/>
        <w:numPr>
          <w:ilvl w:val="0"/>
          <w:numId w:val="3"/>
        </w:numPr>
        <w:spacing w:after="100"/>
      </w:pPr>
      <w:r>
        <w:rPr>
          <w:rFonts w:ascii="Calibri" w:cs="Calibri" w:eastAsia="Calibri" w:hAnsi="Calibri"/>
          <w:sz w:val="22"/>
          <w:szCs w:val="22"/>
        </w:rPr>
        <w:t xml:space="preserve">MySQL Documentation Team. (2025). MySQL Reference Manual. https://dev.mysql.com/doc/</w:t>
      </w:r>
    </w:p>
    <w:p>
      <w:pPr>
        <w:pStyle w:val="ListParagraph"/>
        <w:numPr>
          <w:ilvl w:val="0"/>
          <w:numId w:val="3"/>
        </w:numPr>
        <w:spacing w:after="100"/>
      </w:pPr>
      <w:r>
        <w:rPr>
          <w:rFonts w:ascii="Calibri" w:cs="Calibri" w:eastAsia="Calibri" w:hAnsi="Calibri"/>
          <w:sz w:val="22"/>
          <w:szCs w:val="22"/>
        </w:rPr>
        <w:t xml:space="preserve">Chart.js Team. (2025). Chart.js Documentation. https://www.chartjs.org/docs/</w:t>
      </w:r>
    </w:p>
    <w:p>
      <w:pPr>
        <w:pStyle w:val="ListParagraph"/>
        <w:numPr>
          <w:ilvl w:val="0"/>
          <w:numId w:val="3"/>
        </w:numPr>
        <w:spacing w:after="100"/>
      </w:pPr>
      <w:r>
        <w:rPr>
          <w:rFonts w:ascii="Calibri" w:cs="Calibri" w:eastAsia="Calibri" w:hAnsi="Calibri"/>
          <w:sz w:val="22"/>
          <w:szCs w:val="22"/>
        </w:rPr>
        <w:t xml:space="preserve">mPDF Team. (2025). mPDF Documentation. https://mpdf.github.io/</w:t>
      </w:r>
    </w:p>
    <w:p>
      <w:pPr>
        <w:pStyle w:val="ListParagraph"/>
        <w:numPr>
          <w:ilvl w:val="0"/>
          <w:numId w:val="3"/>
        </w:numPr>
        <w:spacing w:after="100"/>
      </w:pPr>
      <w:r>
        <w:rPr>
          <w:rFonts w:ascii="Calibri" w:cs="Calibri" w:eastAsia="Calibri" w:hAnsi="Calibri"/>
          <w:sz w:val="22"/>
          <w:szCs w:val="22"/>
        </w:rPr>
        <w:t xml:space="preserve">Pressman, R. S. (2014). Ingeniería del software: Un enfoque práctico (7a ed.). McGraw-Hill.</w:t>
      </w:r>
    </w:p>
    <w:p>
      <w:pPr>
        <w:pStyle w:val="ListParagraph"/>
        <w:numPr>
          <w:ilvl w:val="0"/>
          <w:numId w:val="3"/>
        </w:numPr>
        <w:spacing w:after="100"/>
      </w:pPr>
      <w:r>
        <w:rPr>
          <w:rFonts w:ascii="Calibri" w:cs="Calibri" w:eastAsia="Calibri" w:hAnsi="Calibri"/>
          <w:sz w:val="22"/>
          <w:szCs w:val="22"/>
        </w:rPr>
        <w:t xml:space="preserve">Universidad Tecnológica de Puebla. (2026). Desarrollo Web Integral, Producto 1: Uso de la metodología ágil, arquitectura de software, los patrones de diseño y el framework [Documento interno del proyecto MediCore Professional System].</w:t>
      </w:r>
    </w:p>
    <w:p>
      <w:pPr>
        <w:pStyle w:val="ListParagraph"/>
        <w:numPr>
          <w:ilvl w:val="0"/>
          <w:numId w:val="3"/>
        </w:numPr>
        <w:spacing w:after="100"/>
      </w:pPr>
      <w:r>
        <w:rPr>
          <w:rFonts w:ascii="Calibri" w:cs="Calibri" w:eastAsia="Calibri" w:hAnsi="Calibri"/>
          <w:sz w:val="22"/>
          <w:szCs w:val="22"/>
        </w:rPr>
        <w:t xml:space="preserve">Universidad Tecnológica de Puebla. (2026). Desarrollo Web Integral, Producto 2: Versionamiento [Documento interno del proyecto MediCore Professional System].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Página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de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MediCore – Producto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2026-07-07T11:48:20.573Z</dcterms:created>
  <dcterms:modified xsi:type="dcterms:W3CDTF">2026-07-07T11:48:20.606Z</dcterms:modified>
</cp:coreProperties>
</file>

<file path=docProps/custom.xml><?xml version="1.0" encoding="utf-8"?>
<Properties xmlns="http://schemas.openxmlformats.org/officeDocument/2006/custom-properties" xmlns:vt="http://schemas.openxmlformats.org/officeDocument/2006/docPropsVTypes"/>
</file>