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006C32"/>
          <w:sz w:val="32"/>
          <w:szCs w:val="32"/>
        </w:rPr>
        <w:t xml:space="preserve">UNIVERSIDAD TECNOLÓGICA DE PUEBLA</w:t>
      </w:r>
    </w:p>
    <w:p>
      <w:pPr>
        <w:spacing w:after="400"/>
        <w:jc w:val="center"/>
      </w:pPr>
      <w:r>
        <w:rPr>
          <w:b/>
          <w:bCs/>
          <w:sz w:val="26"/>
          <w:szCs w:val="26"/>
        </w:rPr>
        <w:t xml:space="preserve">Ingeniería en Desarrollo y Gestión de Software</w:t>
      </w:r>
    </w:p>
    <w:p>
      <w:pPr>
        <w:spacing w:after="100"/>
        <w:jc w:val="center"/>
      </w:pPr>
      <w:r>
        <w:rPr>
          <w:b/>
          <w:bCs/>
          <w:sz w:val="24"/>
          <w:szCs w:val="24"/>
        </w:rPr>
        <w:t xml:space="preserve">Desarrollo Web Integral</w:t>
      </w:r>
    </w:p>
    <w:p>
      <w:pPr>
        <w:spacing w:after="600" w:before="300"/>
        <w:jc w:val="center"/>
      </w:pPr>
      <w:r>
        <w:rPr>
          <w:b/>
          <w:bCs/>
          <w:color w:val="00843D"/>
          <w:sz w:val="30"/>
          <w:szCs w:val="30"/>
        </w:rPr>
        <w:t xml:space="preserve">ANEXO A LA ACTIVIDAD 3.2 — WEB SERVICES</w:t>
      </w:r>
    </w:p>
    <w:p>
      <w:pPr>
        <w:spacing w:after="600"/>
        <w:jc w:val="center"/>
      </w:pPr>
      <w:r>
        <w:rPr>
          <w:i/>
          <w:iCs/>
          <w:sz w:val="24"/>
          <w:szCs w:val="24"/>
        </w:rPr>
        <w:t xml:space="preserve">Nuevas evidencias: expansión de MediCore con APIs de terceros
y módulos clínicos adicionales</w:t>
      </w:r>
    </w:p>
    <w:p>
      <w:pPr>
        <w:spacing w:after="60" w:before="800"/>
        <w:jc w:val="center"/>
      </w:pPr>
      <w:r>
        <w:rPr>
          <w:b/>
          <w:bCs/>
          <w:sz w:val="22"/>
          <w:szCs w:val="22"/>
        </w:rPr>
        <w:t xml:space="preserve">Alumno:</w:t>
      </w:r>
    </w:p>
    <w:p>
      <w:pPr>
        <w:spacing w:after="300"/>
        <w:jc w:val="center"/>
      </w:pPr>
      <w:r>
        <w:rPr>
          <w:sz w:val="22"/>
          <w:szCs w:val="22"/>
        </w:rPr>
        <w:t xml:space="preserve">Alejandro Pérez Alcántara</w:t>
      </w:r>
    </w:p>
    <w:p>
      <w:pPr>
        <w:spacing w:after="60"/>
        <w:jc w:val="center"/>
      </w:pPr>
      <w:r>
        <w:rPr>
          <w:b/>
          <w:bCs/>
          <w:sz w:val="22"/>
          <w:szCs w:val="22"/>
        </w:rPr>
        <w:t xml:space="preserve">Grupo:</w:t>
      </w:r>
    </w:p>
    <w:p>
      <w:pPr>
        <w:spacing w:after="300"/>
        <w:jc w:val="center"/>
      </w:pPr>
      <w:r>
        <w:rPr>
          <w:sz w:val="22"/>
          <w:szCs w:val="22"/>
        </w:rPr>
        <w:t xml:space="preserve">9° D</w:t>
      </w:r>
    </w:p>
    <w:p>
      <w:pPr>
        <w:spacing w:after="60"/>
        <w:jc w:val="center"/>
      </w:pPr>
      <w:r>
        <w:rPr>
          <w:b/>
          <w:bCs/>
          <w:sz w:val="22"/>
          <w:szCs w:val="22"/>
        </w:rPr>
        <w:t xml:space="preserve">Docente:</w:t>
      </w:r>
    </w:p>
    <w:p>
      <w:pPr>
        <w:spacing w:after="300"/>
        <w:jc w:val="center"/>
      </w:pPr>
      <w:r>
        <w:rPr>
          <w:sz w:val="22"/>
          <w:szCs w:val="22"/>
        </w:rPr>
        <w:t xml:space="preserve">Haydeé Gómez Díaz</w:t>
      </w:r>
    </w:p>
    <w:p>
      <w:pPr>
        <w:spacing w:after="60"/>
        <w:jc w:val="center"/>
      </w:pPr>
      <w:r>
        <w:rPr>
          <w:b/>
          <w:bCs/>
          <w:sz w:val="22"/>
          <w:szCs w:val="22"/>
        </w:rPr>
        <w:t xml:space="preserve">Fecha:</w:t>
      </w:r>
    </w:p>
    <w:p>
      <w:pPr>
        <w:jc w:val="center"/>
      </w:pPr>
      <w:r>
        <w:rPr>
          <w:sz w:val="22"/>
          <w:szCs w:val="22"/>
        </w:rPr>
        <w:t xml:space="preserve">06 de julio de 2026</w:t>
      </w:r>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rPr>
          <w:b/>
          <w:bCs/>
          <w:color w:val="006C32"/>
          <w:sz w:val="30"/>
          <w:szCs w:val="30"/>
        </w:rPr>
        <w:t xml:space="preserve">Introducción al anexo</w:t>
      </w:r>
    </w:p>
    <w:p>
      <w:pPr>
        <w:spacing w:after="120"/>
      </w:pPr>
      <w:r>
        <w:rPr>
          <w:sz w:val="22"/>
          <w:szCs w:val="22"/>
        </w:rPr>
        <w:t xml:space="preserve">Este documento amplía la Actividad 3.2 (Web Services) con las nuevas evidencias generadas al evolucionar MediCore Professional System hacia una versión más profesional y empresarial. Se documentan las cuatro APIs mínimas solicitadas (Google OAuth 2.0, Google Calendar, Twilio y SendGrid), dos APIs adicionales (Google Maps y OpenWeather), y los módulos clínicos nuevos: Recomendaciones, Catálogo de Tipos de Enfermedades, Recetas por Videollamada y Ubicación.</w:t>
      </w:r>
    </w:p>
    <w:p>
      <w:pPr>
        <w:spacing w:after="120"/>
      </w:pPr>
      <w:r>
        <w:rPr>
          <w:sz w:val="22"/>
          <w:szCs w:val="22"/>
        </w:rPr>
        <w:t xml:space="preserve">Todas las integraciones se implementaron con cURL puro en PHP (sin SDKs ni dependencias de Composer), quedando desactivadas de forma segura mientras no se configuren las credenciales correspondientes en un archivo .env, para no romper ninguna funcionalidad existente del sistema.</w:t>
      </w:r>
    </w:p>
    <w:p>
      <w:pPr>
        <w:pStyle w:val="Heading1"/>
        <w:spacing w:after="150" w:before="300"/>
      </w:pPr>
      <w:r>
        <w:rPr>
          <w:b/>
          <w:bCs/>
          <w:color w:val="006C32"/>
          <w:sz w:val="30"/>
          <w:szCs w:val="30"/>
        </w:rPr>
        <w:t xml:space="preserve">1. Google OAuth 2.0 — Login institucional</w:t>
      </w:r>
    </w:p>
    <w:p>
      <w:pPr>
        <w:spacing w:after="120"/>
      </w:pPr>
      <w:r>
        <w:rPr>
          <w:sz w:val="22"/>
          <w:szCs w:val="22"/>
        </w:rPr>
        <w:t xml:space="preserve">Permite a los médicos iniciar sesión con su cuenta de Google, sin reemplazar el login tradicional por correo y contraseña. Por control de acceso (RBAC), el callback solo autentica correos que ya existen en la tabla "medicos"; no crea cuentas nuevas automáticamente.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00843D" w:val="clear"/>
          </w:tcPr>
          <w:p>
            <w:r>
              <w:rPr>
                <w:b/>
                <w:bCs/>
                <w:color w:val="FFFFFF"/>
                <w:sz w:val="20"/>
                <w:szCs w:val="20"/>
              </w:rPr>
              <w:t xml:space="preserve">Archivo(s)</w:t>
            </w:r>
          </w:p>
        </w:tc>
        <w:tc>
          <w:tcPr>
            <w:tcW w:type="dxa" w:w="6750"/>
            <w:shd w:fill="00843D" w:val="clear"/>
          </w:tcPr>
          <w:p>
            <w:r>
              <w:rPr>
                <w:b/>
                <w:bCs/>
                <w:color w:val="FFFFFF"/>
                <w:sz w:val="20"/>
                <w:szCs w:val="20"/>
              </w:rPr>
              <w:t xml:space="preserve">integrations/GoogleOAuth.php, oauth_google.php, oauth_callback.php</w:t>
            </w:r>
          </w:p>
        </w:tc>
      </w:tr>
      <w:tr>
        <w:tc>
          <w:tcPr>
            <w:tcW w:type="dxa" w:w="2600"/>
            <w:shd w:fill="F8FAFC" w:val="clear"/>
          </w:tcPr>
          <w:p>
            <w:r>
              <w:rPr>
                <w:b/>
                <w:bCs/>
                <w:color w:val="0F172A"/>
                <w:sz w:val="20"/>
                <w:szCs w:val="20"/>
              </w:rPr>
              <w:t xml:space="preserve">Flujo</w:t>
            </w:r>
          </w:p>
        </w:tc>
        <w:tc>
          <w:tcPr>
            <w:tcW w:type="dxa" w:w="6750"/>
            <w:shd w:fill="FFFFFF" w:val="clear"/>
          </w:tcPr>
          <w:p>
            <w:r>
              <w:rPr>
                <w:b w:val="false"/>
                <w:bCs w:val="false"/>
                <w:color w:val="0F172A"/>
                <w:sz w:val="20"/>
                <w:szCs w:val="20"/>
              </w:rPr>
              <w:t xml:space="preserve">Authorization Code de OAuth 2.0 con parámetro state anti-CSRF</w:t>
            </w:r>
          </w:p>
        </w:tc>
      </w:tr>
      <w:tr>
        <w:tc>
          <w:tcPr>
            <w:tcW w:type="dxa" w:w="2600"/>
            <w:shd w:fill="F8FAFC" w:val="clear"/>
          </w:tcPr>
          <w:p>
            <w:r>
              <w:rPr>
                <w:b/>
                <w:bCs/>
                <w:color w:val="0F172A"/>
                <w:sz w:val="20"/>
                <w:szCs w:val="20"/>
              </w:rPr>
              <w:t xml:space="preserve">Beneficio</w:t>
            </w:r>
          </w:p>
        </w:tc>
        <w:tc>
          <w:tcPr>
            <w:tcW w:type="dxa" w:w="6750"/>
            <w:shd w:fill="FFFFFF" w:val="clear"/>
          </w:tcPr>
          <w:p>
            <w:r>
              <w:rPr>
                <w:b w:val="false"/>
                <w:bCs w:val="false"/>
                <w:color w:val="0F172A"/>
                <w:sz w:val="20"/>
                <w:szCs w:val="20"/>
              </w:rPr>
              <w:t xml:space="preserve">Autenticación federada, sin duplicar contraseñas, alineado con OWASP ASVS</w:t>
            </w:r>
          </w:p>
        </w:tc>
      </w:tr>
    </w:tbl>
    <w:p>
      <w:pPr>
        <w:pStyle w:val="Heading3"/>
        <w:spacing w:after="100" w:before="180"/>
      </w:pPr>
      <w:r>
        <w:rPr>
          <w:b/>
          <w:bCs/>
          <w:color w:val="0F172A"/>
          <w:sz w:val="22"/>
          <w:szCs w:val="22"/>
        </w:rPr>
        <w:t xml:space="preserve">Fragmento representativo — validación de state anti-CSRF (oauth_callback.php)</w:t>
      </w:r>
    </w:p>
    <w:p>
      <w:pPr>
        <w:pBdr>
          <w:top w:val="single" w:color="CBD5E1" w:sz="4"/>
          <w:bottom w:val="single" w:color="CBD5E1" w:sz="4"/>
          <w:left w:val="single" w:color="CBD5E1" w:sz="4"/>
          <w:right w:val="single" w:color="CBD5E1" w:sz="4"/>
        </w:pBdr>
        <w:shd w:fill="F1F5F9" w:val="clear"/>
        <w:spacing w:after="200" w:before="100"/>
      </w:pPr>
      <w:r>
        <w:rPr>
          <w:rFonts w:ascii="Consolas" w:cs="Consolas" w:eastAsia="Consolas" w:hAnsi="Consolas"/>
          <w:color w:val="0F172A"/>
          <w:sz w:val="18"/>
          <w:szCs w:val="18"/>
        </w:rPr>
        <w:t xml:space="preserve">$estadoRecibido = $_GET["state"] ?? "";</w:t>
      </w:r>
      <w:r>
        <w:br/>
      </w:r>
      <w:r>
        <w:rPr>
          <w:rFonts w:ascii="Consolas" w:cs="Consolas" w:eastAsia="Consolas" w:hAnsi="Consolas"/>
          <w:color w:val="0F172A"/>
          <w:sz w:val="18"/>
          <w:szCs w:val="18"/>
        </w:rPr>
        <w:t xml:space="preserve">$estadoEsperado = $_SESSION["oauth_state"] ?? "";</w:t>
      </w:r>
      <w:r>
        <w:br/>
      </w:r>
      <w:r>
        <w:rPr>
          <w:rFonts w:ascii="Consolas" w:cs="Consolas" w:eastAsia="Consolas" w:hAnsi="Consolas"/>
          <w:color w:val="0F172A"/>
          <w:sz w:val="18"/>
          <w:szCs w:val="18"/>
        </w:rPr>
        <w:t xml:space="preserve">unset($_SESSION["oauth_state"]);</w:t>
      </w:r>
      <w:r>
        <w:br/>
      </w:r>
      <w:r>
        <w:rPr>
          <w:rFonts w:ascii="Consolas" w:cs="Consolas" w:eastAsia="Consolas" w:hAnsi="Consolas"/>
          <w:color w:val="0F172A"/>
          <w:sz w:val="18"/>
          <w:szCs w:val="18"/>
        </w:rPr>
        <w:t xml:space="preserve"> </w:t>
      </w:r>
      <w:r>
        <w:br/>
      </w:r>
      <w:r>
        <w:rPr>
          <w:rFonts w:ascii="Consolas" w:cs="Consolas" w:eastAsia="Consolas" w:hAnsi="Consolas"/>
          <w:color w:val="0F172A"/>
          <w:sz w:val="18"/>
          <w:szCs w:val="18"/>
        </w:rPr>
        <w:t xml:space="preserve">if (empty($estadoRecibido) || !hash_equals($estadoEsperado, $estadoRecibido)) {</w:t>
      </w:r>
      <w:r>
        <w:br/>
      </w:r>
      <w:r>
        <w:rPr>
          <w:rFonts w:ascii="Consolas" w:cs="Consolas" w:eastAsia="Consolas" w:hAnsi="Consolas"/>
          <w:color w:val="0F172A"/>
          <w:sz w:val="18"/>
          <w:szCs w:val="18"/>
        </w:rPr>
        <w:t xml:space="preserve">    registrarLog("Estado OAuth invalido (posible CSRF).", "CRITICAL");</w:t>
      </w:r>
      <w:r>
        <w:br/>
      </w:r>
      <w:r>
        <w:rPr>
          <w:rFonts w:ascii="Consolas" w:cs="Consolas" w:eastAsia="Consolas" w:hAnsi="Consolas"/>
          <w:color w:val="0F172A"/>
          <w:sz w:val="18"/>
          <w:szCs w:val="18"/>
        </w:rPr>
        <w:t xml:space="preserve">    redirigir("login.php?error=seguridad");</w:t>
      </w:r>
      <w:r>
        <w:br/>
      </w:r>
      <w:r>
        <w:rPr>
          <w:rFonts w:ascii="Consolas" w:cs="Consolas" w:eastAsia="Consolas" w:hAnsi="Consolas"/>
          <w:color w:val="0F172A"/>
          <w:sz w:val="18"/>
          <w:szCs w:val="18"/>
        </w:rPr>
        <w:t xml:space="preserve">}</w:t>
      </w:r>
    </w:p>
    <w:p>
      <w:pPr>
        <w:pStyle w:val="Heading1"/>
        <w:spacing w:after="150" w:before="300"/>
      </w:pPr>
      <w:r>
        <w:rPr>
          <w:b/>
          <w:bCs/>
          <w:color w:val="006C32"/>
          <w:sz w:val="30"/>
          <w:szCs w:val="30"/>
        </w:rPr>
        <w:t xml:space="preserve">2. Google Calendar — Sincronización de citas</w:t>
      </w:r>
    </w:p>
    <w:p>
      <w:pPr>
        <w:spacing w:after="120"/>
      </w:pPr>
      <w:r>
        <w:rPr>
          <w:sz w:val="22"/>
          <w:szCs w:val="22"/>
        </w:rPr>
        <w:t xml:space="preserve">Cuando un médico vincula su cuenta de Google (autorizando el scope de Calendar), cada cita capturada en el expediente clínico se sincroniza automáticamente como un evento en su calendario, sin bloquear el guardado del expediente si la sincronización falla.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00843D" w:val="clear"/>
          </w:tcPr>
          <w:p>
            <w:r>
              <w:rPr>
                <w:b/>
                <w:bCs/>
                <w:color w:val="FFFFFF"/>
                <w:sz w:val="20"/>
                <w:szCs w:val="20"/>
              </w:rPr>
              <w:t xml:space="preserve">Archivo(s)</w:t>
            </w:r>
          </w:p>
        </w:tc>
        <w:tc>
          <w:tcPr>
            <w:tcW w:type="dxa" w:w="6750"/>
            <w:shd w:fill="00843D" w:val="clear"/>
          </w:tcPr>
          <w:p>
            <w:r>
              <w:rPr>
                <w:b/>
                <w:bCs/>
                <w:color w:val="FFFFFF"/>
                <w:sz w:val="20"/>
                <w:szCs w:val="20"/>
              </w:rPr>
              <w:t xml:space="preserve">integrations/GoogleCalendar.php (hook en expediente.php)</w:t>
            </w:r>
          </w:p>
        </w:tc>
      </w:tr>
      <w:tr>
        <w:tc>
          <w:tcPr>
            <w:tcW w:type="dxa" w:w="2600"/>
            <w:shd w:fill="F8FAFC" w:val="clear"/>
          </w:tcPr>
          <w:p>
            <w:r>
              <w:rPr>
                <w:b/>
                <w:bCs/>
                <w:color w:val="0F172A"/>
                <w:sz w:val="20"/>
                <w:szCs w:val="20"/>
              </w:rPr>
              <w:t xml:space="preserve">Datos enviados</w:t>
            </w:r>
          </w:p>
        </w:tc>
        <w:tc>
          <w:tcPr>
            <w:tcW w:type="dxa" w:w="6750"/>
            <w:shd w:fill="FFFFFF" w:val="clear"/>
          </w:tcPr>
          <w:p>
            <w:r>
              <w:rPr>
                <w:b w:val="false"/>
                <w:bCs w:val="false"/>
                <w:color w:val="0F172A"/>
                <w:sz w:val="20"/>
                <w:szCs w:val="20"/>
              </w:rPr>
              <w:t xml:space="preserve">Nombre del paciente, fecha y hora de la cita, diagnóstico breve</w:t>
            </w:r>
          </w:p>
        </w:tc>
      </w:tr>
      <w:tr>
        <w:tc>
          <w:tcPr>
            <w:tcW w:type="dxa" w:w="2600"/>
            <w:shd w:fill="F8FAFC" w:val="clear"/>
          </w:tcPr>
          <w:p>
            <w:r>
              <w:rPr>
                <w:b/>
                <w:bCs/>
                <w:color w:val="0F172A"/>
                <w:sz w:val="20"/>
                <w:szCs w:val="20"/>
              </w:rPr>
              <w:t xml:space="preserve">Manejo de errores</w:t>
            </w:r>
          </w:p>
        </w:tc>
        <w:tc>
          <w:tcPr>
            <w:tcW w:type="dxa" w:w="6750"/>
            <w:shd w:fill="FFFFFF" w:val="clear"/>
          </w:tcPr>
          <w:p>
            <w:r>
              <w:rPr>
                <w:b w:val="false"/>
                <w:bCs w:val="false"/>
                <w:color w:val="0F172A"/>
                <w:sz w:val="20"/>
                <w:szCs w:val="20"/>
              </w:rPr>
              <w:t xml:space="preserve">try/catch no bloqueante; se registra en seguridad.log</w:t>
            </w:r>
          </w:p>
        </w:tc>
      </w:tr>
    </w:tbl>
    <w:p>
      <w:pPr>
        <w:pStyle w:val="Heading3"/>
        <w:spacing w:after="100" w:before="180"/>
      </w:pPr>
      <w:r>
        <w:rPr>
          <w:b/>
          <w:bCs/>
          <w:color w:val="0F172A"/>
          <w:sz w:val="22"/>
          <w:szCs w:val="22"/>
        </w:rPr>
        <w:t xml:space="preserve">Fragmento representativo — creación del evento</w:t>
      </w:r>
    </w:p>
    <w:p>
      <w:pPr>
        <w:pBdr>
          <w:top w:val="single" w:color="CBD5E1" w:sz="4"/>
          <w:bottom w:val="single" w:color="CBD5E1" w:sz="4"/>
          <w:left w:val="single" w:color="CBD5E1" w:sz="4"/>
          <w:right w:val="single" w:color="CBD5E1" w:sz="4"/>
        </w:pBdr>
        <w:shd w:fill="F1F5F9" w:val="clear"/>
        <w:spacing w:after="200" w:before="100"/>
      </w:pPr>
      <w:r>
        <w:rPr>
          <w:rFonts w:ascii="Consolas" w:cs="Consolas" w:eastAsia="Consolas" w:hAnsi="Consolas"/>
          <w:color w:val="0F172A"/>
          <w:sz w:val="18"/>
          <w:szCs w:val="18"/>
        </w:rPr>
        <w:t xml:space="preserve">$evento = [</w:t>
      </w:r>
      <w:r>
        <w:br/>
      </w:r>
      <w:r>
        <w:rPr>
          <w:rFonts w:ascii="Consolas" w:cs="Consolas" w:eastAsia="Consolas" w:hAnsi="Consolas"/>
          <w:color w:val="0F172A"/>
          <w:sz w:val="18"/>
          <w:szCs w:val="18"/>
        </w:rPr>
        <w:t xml:space="preserve">    "summary" =&gt; "Cita medica MediCore - " . $nombrePaciente,</w:t>
      </w:r>
      <w:r>
        <w:br/>
      </w:r>
      <w:r>
        <w:rPr>
          <w:rFonts w:ascii="Consolas" w:cs="Consolas" w:eastAsia="Consolas" w:hAnsi="Consolas"/>
          <w:color w:val="0F172A"/>
          <w:sz w:val="18"/>
          <w:szCs w:val="18"/>
        </w:rPr>
        <w:t xml:space="preserve">    "start" =&gt; ["dateTime" =&gt; date("c", $timestampInicio), "timeZone" =&gt; "America/Mexico_City"],</w:t>
      </w:r>
      <w:r>
        <w:br/>
      </w:r>
      <w:r>
        <w:rPr>
          <w:rFonts w:ascii="Consolas" w:cs="Consolas" w:eastAsia="Consolas" w:hAnsi="Consolas"/>
          <w:color w:val="0F172A"/>
          <w:sz w:val="18"/>
          <w:szCs w:val="18"/>
        </w:rPr>
        <w:t xml:space="preserve">    "end"   =&gt; ["dateTime" =&gt; date("c", $timestampFin), "timeZone" =&gt; "America/Mexico_City"]</w:t>
      </w:r>
      <w:r>
        <w:br/>
      </w:r>
      <w:r>
        <w:rPr>
          <w:rFonts w:ascii="Consolas" w:cs="Consolas" w:eastAsia="Consolas" w:hAnsi="Consolas"/>
          <w:color w:val="0F172A"/>
          <w:sz w:val="18"/>
          <w:szCs w:val="18"/>
        </w:rPr>
        <w:t xml:space="preserve">];</w:t>
      </w:r>
      <w:r>
        <w:br/>
      </w:r>
      <w:r>
        <w:rPr>
          <w:rFonts w:ascii="Consolas" w:cs="Consolas" w:eastAsia="Consolas" w:hAnsi="Consolas"/>
          <w:color w:val="0F172A"/>
          <w:sz w:val="18"/>
          <w:szCs w:val="18"/>
        </w:rPr>
        <w:t xml:space="preserve">// POST a https://www.googleapis.com/calendar/v3/calendars/{calendarId}/events</w:t>
      </w:r>
    </w:p>
    <w:p>
      <w:pPr>
        <w:pStyle w:val="Heading1"/>
        <w:spacing w:after="150" w:before="300"/>
      </w:pPr>
      <w:r>
        <w:rPr>
          <w:b/>
          <w:bCs/>
          <w:color w:val="006C32"/>
          <w:sz w:val="30"/>
          <w:szCs w:val="30"/>
        </w:rPr>
        <w:t xml:space="preserve">3. Twilio — Verificación OTP (segundo factor)</w:t>
      </w:r>
    </w:p>
    <w:p>
      <w:pPr>
        <w:spacing w:after="120"/>
      </w:pPr>
      <w:r>
        <w:rPr>
          <w:sz w:val="22"/>
          <w:szCs w:val="22"/>
        </w:rPr>
        <w:t xml:space="preserve">Segundo factor de autenticación opcional (feature flag OTP_ENABLED). Si está activo y el médico tiene teléfono registrado, tras validar la contraseña se envía un código de 6 dígitos por SMS antes de completar el inicio de sesión.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00843D" w:val="clear"/>
          </w:tcPr>
          <w:p>
            <w:r>
              <w:rPr>
                <w:b/>
                <w:bCs/>
                <w:color w:val="FFFFFF"/>
                <w:sz w:val="20"/>
                <w:szCs w:val="20"/>
              </w:rPr>
              <w:t xml:space="preserve">Archivo(s)</w:t>
            </w:r>
          </w:p>
        </w:tc>
        <w:tc>
          <w:tcPr>
            <w:tcW w:type="dxa" w:w="6750"/>
            <w:shd w:fill="00843D" w:val="clear"/>
          </w:tcPr>
          <w:p>
            <w:r>
              <w:rPr>
                <w:b/>
                <w:bCs/>
                <w:color w:val="FFFFFF"/>
                <w:sz w:val="20"/>
                <w:szCs w:val="20"/>
              </w:rPr>
              <w:t xml:space="preserve">integrations/TwilioOTP.php, otp_verificar.php, tabla otp_codes</w:t>
            </w:r>
          </w:p>
        </w:tc>
      </w:tr>
      <w:tr>
        <w:tc>
          <w:tcPr>
            <w:tcW w:type="dxa" w:w="2600"/>
            <w:shd w:fill="F8FAFC" w:val="clear"/>
          </w:tcPr>
          <w:p>
            <w:r>
              <w:rPr>
                <w:b/>
                <w:bCs/>
                <w:color w:val="0F172A"/>
                <w:sz w:val="20"/>
                <w:szCs w:val="20"/>
              </w:rPr>
              <w:t xml:space="preserve">Expiración</w:t>
            </w:r>
          </w:p>
        </w:tc>
        <w:tc>
          <w:tcPr>
            <w:tcW w:type="dxa" w:w="6750"/>
            <w:shd w:fill="FFFFFF" w:val="clear"/>
          </w:tcPr>
          <w:p>
            <w:r>
              <w:rPr>
                <w:b w:val="false"/>
                <w:bCs w:val="false"/>
                <w:color w:val="0F172A"/>
                <w:sz w:val="20"/>
                <w:szCs w:val="20"/>
              </w:rPr>
              <w:t xml:space="preserve">5 minutos, un solo uso (columna "usado")</w:t>
            </w:r>
          </w:p>
        </w:tc>
      </w:tr>
      <w:tr>
        <w:tc>
          <w:tcPr>
            <w:tcW w:type="dxa" w:w="2600"/>
            <w:shd w:fill="F8FAFC" w:val="clear"/>
          </w:tcPr>
          <w:p>
            <w:r>
              <w:rPr>
                <w:b/>
                <w:bCs/>
                <w:color w:val="0F172A"/>
                <w:sz w:val="20"/>
                <w:szCs w:val="20"/>
              </w:rPr>
              <w:t xml:space="preserve">Beneficio</w:t>
            </w:r>
          </w:p>
        </w:tc>
        <w:tc>
          <w:tcPr>
            <w:tcW w:type="dxa" w:w="6750"/>
            <w:shd w:fill="FFFFFF" w:val="clear"/>
          </w:tcPr>
          <w:p>
            <w:r>
              <w:rPr>
                <w:b w:val="false"/>
                <w:bCs w:val="false"/>
                <w:color w:val="0F172A"/>
                <w:sz w:val="20"/>
                <w:szCs w:val="20"/>
              </w:rPr>
              <w:t xml:space="preserve">Refuerza autenticación segura (principio de codificación segura, Actividad 3.1)</w:t>
            </w:r>
          </w:p>
        </w:tc>
      </w:tr>
    </w:tbl>
    <w:p>
      <w:pPr>
        <w:pStyle w:val="Heading3"/>
        <w:spacing w:after="100" w:before="180"/>
      </w:pPr>
      <w:r>
        <w:rPr>
          <w:b/>
          <w:bCs/>
          <w:color w:val="0F172A"/>
          <w:sz w:val="22"/>
          <w:szCs w:val="22"/>
        </w:rPr>
        <w:t xml:space="preserve">Fragmento representativo — envío del SMS</w:t>
      </w:r>
    </w:p>
    <w:p>
      <w:pPr>
        <w:pBdr>
          <w:top w:val="single" w:color="CBD5E1" w:sz="4"/>
          <w:bottom w:val="single" w:color="CBD5E1" w:sz="4"/>
          <w:left w:val="single" w:color="CBD5E1" w:sz="4"/>
          <w:right w:val="single" w:color="CBD5E1" w:sz="4"/>
        </w:pBdr>
        <w:shd w:fill="F1F5F9" w:val="clear"/>
        <w:spacing w:after="200" w:before="100"/>
      </w:pPr>
      <w:r>
        <w:rPr>
          <w:rFonts w:ascii="Consolas" w:cs="Consolas" w:eastAsia="Consolas" w:hAnsi="Consolas"/>
          <w:color w:val="0F172A"/>
          <w:sz w:val="18"/>
          <w:szCs w:val="18"/>
        </w:rPr>
        <w:t xml:space="preserve">curl_setopt_array($ch, [</w:t>
      </w:r>
      <w:r>
        <w:br/>
      </w:r>
      <w:r>
        <w:rPr>
          <w:rFonts w:ascii="Consolas" w:cs="Consolas" w:eastAsia="Consolas" w:hAnsi="Consolas"/>
          <w:color w:val="0F172A"/>
          <w:sz w:val="18"/>
          <w:szCs w:val="18"/>
        </w:rPr>
        <w:t xml:space="preserve">    CURLOPT_USERPWD =&gt; "$sid:$token",</w:t>
      </w:r>
      <w:r>
        <w:br/>
      </w:r>
      <w:r>
        <w:rPr>
          <w:rFonts w:ascii="Consolas" w:cs="Consolas" w:eastAsia="Consolas" w:hAnsi="Consolas"/>
          <w:color w:val="0F172A"/>
          <w:sz w:val="18"/>
          <w:szCs w:val="18"/>
        </w:rPr>
        <w:t xml:space="preserve">    CURLOPT_POSTFIELDS =&gt; http_build_query([</w:t>
      </w:r>
      <w:r>
        <w:br/>
      </w:r>
      <w:r>
        <w:rPr>
          <w:rFonts w:ascii="Consolas" w:cs="Consolas" w:eastAsia="Consolas" w:hAnsi="Consolas"/>
          <w:color w:val="0F172A"/>
          <w:sz w:val="18"/>
          <w:szCs w:val="18"/>
        </w:rPr>
        <w:t xml:space="preserve">        "To" =&gt; $telefonoDestino, "From" =&gt; $desde,</w:t>
      </w:r>
      <w:r>
        <w:br/>
      </w:r>
      <w:r>
        <w:rPr>
          <w:rFonts w:ascii="Consolas" w:cs="Consolas" w:eastAsia="Consolas" w:hAnsi="Consolas"/>
          <w:color w:val="0F172A"/>
          <w:sz w:val="18"/>
          <w:szCs w:val="18"/>
        </w:rPr>
        <w:t xml:space="preserve">        "Body" =&gt; "MediCore: tu codigo de verificacion es $codigo."</w:t>
      </w:r>
      <w:r>
        <w:br/>
      </w:r>
      <w:r>
        <w:rPr>
          <w:rFonts w:ascii="Consolas" w:cs="Consolas" w:eastAsia="Consolas" w:hAnsi="Consolas"/>
          <w:color w:val="0F172A"/>
          <w:sz w:val="18"/>
          <w:szCs w:val="18"/>
        </w:rPr>
        <w:t xml:space="preserve">    ])</w:t>
      </w:r>
      <w:r>
        <w:br/>
      </w:r>
      <w:r>
        <w:rPr>
          <w:rFonts w:ascii="Consolas" w:cs="Consolas" w:eastAsia="Consolas" w:hAnsi="Consolas"/>
          <w:color w:val="0F172A"/>
          <w:sz w:val="18"/>
          <w:szCs w:val="18"/>
        </w:rPr>
        <w:t xml:space="preserve">]);</w:t>
      </w:r>
    </w:p>
    <w:p>
      <w:pPr>
        <w:pStyle w:val="Heading1"/>
        <w:spacing w:after="150" w:before="300"/>
      </w:pPr>
      <w:r>
        <w:rPr>
          <w:b/>
          <w:bCs/>
          <w:color w:val="006C32"/>
          <w:sz w:val="30"/>
          <w:szCs w:val="30"/>
        </w:rPr>
        <w:t xml:space="preserve">4. SendGrid — Recuperación de contraseña y notificaciones</w:t>
      </w:r>
    </w:p>
    <w:p>
      <w:pPr>
        <w:spacing w:after="120"/>
      </w:pPr>
      <w:r>
        <w:rPr>
          <w:sz w:val="22"/>
          <w:szCs w:val="22"/>
        </w:rPr>
        <w:t xml:space="preserve">Resuelve un hueco real detectado en el sistema original: el enlace "¿Olvidaste tu contraseña?" no tenía funcionalidad. Ahora genera un token de un solo uso (1 hora de vigencia) y envía un correo con el enlace de restablecimiento. También se usa para confirmar citas médicas por correo.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00843D" w:val="clear"/>
          </w:tcPr>
          <w:p>
            <w:r>
              <w:rPr>
                <w:b/>
                <w:bCs/>
                <w:color w:val="FFFFFF"/>
                <w:sz w:val="20"/>
                <w:szCs w:val="20"/>
              </w:rPr>
              <w:t xml:space="preserve">Archivo(s)</w:t>
            </w:r>
          </w:p>
        </w:tc>
        <w:tc>
          <w:tcPr>
            <w:tcW w:type="dxa" w:w="6750"/>
            <w:shd w:fill="00843D" w:val="clear"/>
          </w:tcPr>
          <w:p>
            <w:r>
              <w:rPr>
                <w:b/>
                <w:bCs/>
                <w:color w:val="FFFFFF"/>
                <w:sz w:val="20"/>
                <w:szCs w:val="20"/>
              </w:rPr>
              <w:t xml:space="preserve">integrations/SendGridMailer.php, recuperar_password.php, restablecer_password.php</w:t>
            </w:r>
          </w:p>
        </w:tc>
      </w:tr>
      <w:tr>
        <w:tc>
          <w:tcPr>
            <w:tcW w:type="dxa" w:w="2600"/>
            <w:shd w:fill="F8FAFC" w:val="clear"/>
          </w:tcPr>
          <w:p>
            <w:r>
              <w:rPr>
                <w:b/>
                <w:bCs/>
                <w:color w:val="0F172A"/>
                <w:sz w:val="20"/>
                <w:szCs w:val="20"/>
              </w:rPr>
              <w:t xml:space="preserve">Tabla nueva</w:t>
            </w:r>
          </w:p>
        </w:tc>
        <w:tc>
          <w:tcPr>
            <w:tcW w:type="dxa" w:w="6750"/>
            <w:shd w:fill="FFFFFF" w:val="clear"/>
          </w:tcPr>
          <w:p>
            <w:r>
              <w:rPr>
                <w:b w:val="false"/>
                <w:bCs w:val="false"/>
                <w:color w:val="0F172A"/>
                <w:sz w:val="20"/>
                <w:szCs w:val="20"/>
              </w:rPr>
              <w:t xml:space="preserve">password_resets (token, expira, usado)</w:t>
            </w:r>
          </w:p>
        </w:tc>
      </w:tr>
      <w:tr>
        <w:tc>
          <w:tcPr>
            <w:tcW w:type="dxa" w:w="2600"/>
            <w:shd w:fill="F8FAFC" w:val="clear"/>
          </w:tcPr>
          <w:p>
            <w:r>
              <w:rPr>
                <w:b/>
                <w:bCs/>
                <w:color w:val="0F172A"/>
                <w:sz w:val="20"/>
                <w:szCs w:val="20"/>
              </w:rPr>
              <w:t xml:space="preserve">Buena práctica OWASP</w:t>
            </w:r>
          </w:p>
        </w:tc>
        <w:tc>
          <w:tcPr>
            <w:tcW w:type="dxa" w:w="6750"/>
            <w:shd w:fill="FFFFFF" w:val="clear"/>
          </w:tcPr>
          <w:p>
            <w:r>
              <w:rPr>
                <w:b w:val="false"/>
                <w:bCs w:val="false"/>
                <w:color w:val="0F172A"/>
                <w:sz w:val="20"/>
                <w:szCs w:val="20"/>
              </w:rPr>
              <w:t xml:space="preserve">Mensaje de respuesta genérico (no revela si el correo existe)</w:t>
            </w:r>
          </w:p>
        </w:tc>
      </w:tr>
    </w:tbl>
    <w:p>
      <w:pPr>
        <w:pStyle w:val="Heading3"/>
        <w:spacing w:after="100" w:before="180"/>
      </w:pPr>
      <w:r>
        <w:rPr>
          <w:b/>
          <w:bCs/>
          <w:color w:val="0F172A"/>
          <w:sz w:val="22"/>
          <w:szCs w:val="22"/>
        </w:rPr>
        <w:t xml:space="preserve">Fragmento representativo — envío vía API v3 de SendGrid</w:t>
      </w:r>
    </w:p>
    <w:p>
      <w:pPr>
        <w:pBdr>
          <w:top w:val="single" w:color="CBD5E1" w:sz="4"/>
          <w:bottom w:val="single" w:color="CBD5E1" w:sz="4"/>
          <w:left w:val="single" w:color="CBD5E1" w:sz="4"/>
          <w:right w:val="single" w:color="CBD5E1" w:sz="4"/>
        </w:pBdr>
        <w:shd w:fill="F1F5F9" w:val="clear"/>
        <w:spacing w:after="200" w:before="100"/>
      </w:pPr>
      <w:r>
        <w:rPr>
          <w:rFonts w:ascii="Consolas" w:cs="Consolas" w:eastAsia="Consolas" w:hAnsi="Consolas"/>
          <w:color w:val="0F172A"/>
          <w:sz w:val="18"/>
          <w:szCs w:val="18"/>
        </w:rPr>
        <w:t xml:space="preserve">$payload = [</w:t>
      </w:r>
      <w:r>
        <w:br/>
      </w:r>
      <w:r>
        <w:rPr>
          <w:rFonts w:ascii="Consolas" w:cs="Consolas" w:eastAsia="Consolas" w:hAnsi="Consolas"/>
          <w:color w:val="0F172A"/>
          <w:sz w:val="18"/>
          <w:szCs w:val="18"/>
        </w:rPr>
        <w:t xml:space="preserve">    "personalizations" =&gt; [["to" =&gt; [["email" =&gt; $destinatarioEmail]], "subject" =&gt; $asunto]],</w:t>
      </w:r>
      <w:r>
        <w:br/>
      </w:r>
      <w:r>
        <w:rPr>
          <w:rFonts w:ascii="Consolas" w:cs="Consolas" w:eastAsia="Consolas" w:hAnsi="Consolas"/>
          <w:color w:val="0F172A"/>
          <w:sz w:val="18"/>
          <w:szCs w:val="18"/>
        </w:rPr>
        <w:t xml:space="preserve">    "from" =&gt; ["email" =&gt; $fromEmail, "name" =&gt; $fromName],</w:t>
      </w:r>
      <w:r>
        <w:br/>
      </w:r>
      <w:r>
        <w:rPr>
          <w:rFonts w:ascii="Consolas" w:cs="Consolas" w:eastAsia="Consolas" w:hAnsi="Consolas"/>
          <w:color w:val="0F172A"/>
          <w:sz w:val="18"/>
          <w:szCs w:val="18"/>
        </w:rPr>
        <w:t xml:space="preserve">    "content" =&gt; [["type" =&gt; "text/html", "value" =&gt; $contenidoHtml]]</w:t>
      </w:r>
      <w:r>
        <w:br/>
      </w:r>
      <w:r>
        <w:rPr>
          <w:rFonts w:ascii="Consolas" w:cs="Consolas" w:eastAsia="Consolas" w:hAnsi="Consolas"/>
          <w:color w:val="0F172A"/>
          <w:sz w:val="18"/>
          <w:szCs w:val="18"/>
        </w:rPr>
        <w:t xml:space="preserve">];</w:t>
      </w:r>
      <w:r>
        <w:br/>
      </w:r>
      <w:r>
        <w:rPr>
          <w:rFonts w:ascii="Consolas" w:cs="Consolas" w:eastAsia="Consolas" w:hAnsi="Consolas"/>
          <w:color w:val="0F172A"/>
          <w:sz w:val="18"/>
          <w:szCs w:val="18"/>
        </w:rPr>
        <w:t xml:space="preserve">// POST a https://api.sendgrid.com/v3/mail/send con header Authorization: Bearer</w:t>
      </w:r>
    </w:p>
    <w:p>
      <w:pPr>
        <w:pStyle w:val="Heading1"/>
        <w:spacing w:after="150" w:before="300"/>
      </w:pPr>
      <w:r>
        <w:rPr>
          <w:b/>
          <w:bCs/>
          <w:color w:val="006C32"/>
          <w:sz w:val="30"/>
          <w:szCs w:val="30"/>
        </w:rPr>
        <w:t xml:space="preserve">5. Google Maps — Módulo de Ubicación</w:t>
      </w:r>
    </w:p>
    <w:p>
      <w:pPr>
        <w:spacing w:after="120"/>
      </w:pPr>
      <w:r>
        <w:rPr>
          <w:sz w:val="22"/>
          <w:szCs w:val="22"/>
        </w:rPr>
        <w:t xml:space="preserve">Nuevo módulo (ubicacion.php) que muestra las sucursales/clínicas registradas en una tabla nueva (sucursales) con un mapa embebido mediante la Maps Embed API. Si no hay API key configurada, se muestra un enlace directo a Google Maps como alternativa funcional.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00843D" w:val="clear"/>
          </w:tcPr>
          <w:p>
            <w:r>
              <w:rPr>
                <w:b/>
                <w:bCs/>
                <w:color w:val="FFFFFF"/>
                <w:sz w:val="20"/>
                <w:szCs w:val="20"/>
              </w:rPr>
              <w:t xml:space="preserve">Archivo(s)</w:t>
            </w:r>
          </w:p>
        </w:tc>
        <w:tc>
          <w:tcPr>
            <w:tcW w:type="dxa" w:w="6750"/>
            <w:shd w:fill="00843D" w:val="clear"/>
          </w:tcPr>
          <w:p>
            <w:r>
              <w:rPr>
                <w:b/>
                <w:bCs/>
                <w:color w:val="FFFFFF"/>
                <w:sz w:val="20"/>
                <w:szCs w:val="20"/>
              </w:rPr>
              <w:t xml:space="preserve">ubicacion.php, tabla sucursales</w:t>
            </w:r>
          </w:p>
        </w:tc>
      </w:tr>
      <w:tr>
        <w:tc>
          <w:tcPr>
            <w:tcW w:type="dxa" w:w="2600"/>
            <w:shd w:fill="F8FAFC" w:val="clear"/>
          </w:tcPr>
          <w:p>
            <w:r>
              <w:rPr>
                <w:b/>
                <w:bCs/>
                <w:color w:val="0F172A"/>
                <w:sz w:val="20"/>
                <w:szCs w:val="20"/>
              </w:rPr>
              <w:t xml:space="preserve">API usada</w:t>
            </w:r>
          </w:p>
        </w:tc>
        <w:tc>
          <w:tcPr>
            <w:tcW w:type="dxa" w:w="6750"/>
            <w:shd w:fill="FFFFFF" w:val="clear"/>
          </w:tcPr>
          <w:p>
            <w:r>
              <w:rPr>
                <w:b w:val="false"/>
                <w:bCs w:val="false"/>
                <w:color w:val="0F172A"/>
                <w:sz w:val="20"/>
                <w:szCs w:val="20"/>
              </w:rPr>
              <w:t xml:space="preserve">Google Maps Embed API (solo lectura, sin costo por vistas moderadas)</w:t>
            </w:r>
          </w:p>
        </w:tc>
      </w:tr>
      <w:tr>
        <w:tc>
          <w:tcPr>
            <w:tcW w:type="dxa" w:w="2600"/>
            <w:shd w:fill="F8FAFC" w:val="clear"/>
          </w:tcPr>
          <w:p>
            <w:r>
              <w:rPr>
                <w:b/>
                <w:bCs/>
                <w:color w:val="0F172A"/>
                <w:sz w:val="20"/>
                <w:szCs w:val="20"/>
              </w:rPr>
              <w:t xml:space="preserve">Degradación segura</w:t>
            </w:r>
          </w:p>
        </w:tc>
        <w:tc>
          <w:tcPr>
            <w:tcW w:type="dxa" w:w="6750"/>
            <w:shd w:fill="FFFFFF" w:val="clear"/>
          </w:tcPr>
          <w:p>
            <w:r>
              <w:rPr>
                <w:b w:val="false"/>
                <w:bCs w:val="false"/>
                <w:color w:val="0F172A"/>
                <w:sz w:val="20"/>
                <w:szCs w:val="20"/>
              </w:rPr>
              <w:t xml:space="preserve">Sin API key -&gt; enlace a maps.google.com en vez de iframe</w:t>
            </w:r>
          </w:p>
        </w:tc>
      </w:tr>
    </w:tbl>
    <w:p>
      <w:pPr>
        <w:pStyle w:val="Heading1"/>
        <w:spacing w:after="150" w:before="300"/>
      </w:pPr>
      <w:r>
        <w:rPr>
          <w:b/>
          <w:bCs/>
          <w:color w:val="006C32"/>
          <w:sz w:val="30"/>
          <w:szCs w:val="30"/>
        </w:rPr>
        <w:t xml:space="preserve">6. OpenWeather — Recomendaciones por clima</w:t>
      </w:r>
    </w:p>
    <w:p>
      <w:pPr>
        <w:spacing w:after="120"/>
      </w:pPr>
      <w:r>
        <w:rPr>
          <w:sz w:val="22"/>
          <w:szCs w:val="22"/>
        </w:rPr>
        <w:t xml:space="preserve">Integrado en el nuevo módulo de Recomendaciones (recomendaciones.php). Consulta el clima actual de la ciudad de la clínica y genera recomendaciones automáticas (hidratación en calor, precauciones respiratorias en frío, riesgo de resbalones en lluvia, etc.).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00843D" w:val="clear"/>
          </w:tcPr>
          <w:p>
            <w:r>
              <w:rPr>
                <w:b/>
                <w:bCs/>
                <w:color w:val="FFFFFF"/>
                <w:sz w:val="20"/>
                <w:szCs w:val="20"/>
              </w:rPr>
              <w:t xml:space="preserve">Archivo(s)</w:t>
            </w:r>
          </w:p>
        </w:tc>
        <w:tc>
          <w:tcPr>
            <w:tcW w:type="dxa" w:w="6750"/>
            <w:shd w:fill="00843D" w:val="clear"/>
          </w:tcPr>
          <w:p>
            <w:r>
              <w:rPr>
                <w:b/>
                <w:bCs/>
                <w:color w:val="FFFFFF"/>
                <w:sz w:val="20"/>
                <w:szCs w:val="20"/>
              </w:rPr>
              <w:t xml:space="preserve">integrations/OpenWeather.php, recomendaciones.php</w:t>
            </w:r>
          </w:p>
        </w:tc>
      </w:tr>
      <w:tr>
        <w:tc>
          <w:tcPr>
            <w:tcW w:type="dxa" w:w="2600"/>
            <w:shd w:fill="F8FAFC" w:val="clear"/>
          </w:tcPr>
          <w:p>
            <w:r>
              <w:rPr>
                <w:b/>
                <w:bCs/>
                <w:color w:val="0F172A"/>
                <w:sz w:val="20"/>
                <w:szCs w:val="20"/>
              </w:rPr>
              <w:t xml:space="preserve">Datos usados</w:t>
            </w:r>
          </w:p>
        </w:tc>
        <w:tc>
          <w:tcPr>
            <w:tcW w:type="dxa" w:w="6750"/>
            <w:shd w:fill="FFFFFF" w:val="clear"/>
          </w:tcPr>
          <w:p>
            <w:r>
              <w:rPr>
                <w:b w:val="false"/>
                <w:bCs w:val="false"/>
                <w:color w:val="0F172A"/>
                <w:sz w:val="20"/>
                <w:szCs w:val="20"/>
              </w:rPr>
              <w:t xml:space="preserve">Ciudad configurada por el administrador (no datos personales)</w:t>
            </w:r>
          </w:p>
        </w:tc>
      </w:tr>
      <w:tr>
        <w:tc>
          <w:tcPr>
            <w:tcW w:type="dxa" w:w="2600"/>
            <w:shd w:fill="F8FAFC" w:val="clear"/>
          </w:tcPr>
          <w:p>
            <w:r>
              <w:rPr>
                <w:b/>
                <w:bCs/>
                <w:color w:val="0F172A"/>
                <w:sz w:val="20"/>
                <w:szCs w:val="20"/>
              </w:rPr>
              <w:t xml:space="preserve">Costo</w:t>
            </w:r>
          </w:p>
        </w:tc>
        <w:tc>
          <w:tcPr>
            <w:tcW w:type="dxa" w:w="6750"/>
            <w:shd w:fill="FFFFFF" w:val="clear"/>
          </w:tcPr>
          <w:p>
            <w:r>
              <w:rPr>
                <w:b w:val="false"/>
                <w:bCs w:val="false"/>
                <w:color w:val="0F172A"/>
                <w:sz w:val="20"/>
                <w:szCs w:val="20"/>
              </w:rPr>
              <w:t xml:space="preserve">Cuenta gratuita (plan free de OpenWeather)</w:t>
            </w:r>
          </w:p>
        </w:tc>
      </w:tr>
    </w:tbl>
    <w:p>
      <w:pPr>
        <w:pStyle w:val="Heading1"/>
        <w:spacing w:after="150" w:before="300"/>
      </w:pPr>
      <w:r>
        <w:rPr>
          <w:b/>
          <w:bCs/>
          <w:color w:val="006C32"/>
          <w:sz w:val="30"/>
          <w:szCs w:val="30"/>
        </w:rPr>
        <w:t xml:space="preserve">7. Módulos clínicos nuevos</w:t>
      </w:r>
    </w:p>
    <w:p>
      <w:pPr>
        <w:pStyle w:val="Heading2"/>
        <w:spacing w:after="120" w:before="240"/>
      </w:pPr>
      <w:r>
        <w:rPr>
          <w:b/>
          <w:bCs/>
          <w:color w:val="00843D"/>
          <w:sz w:val="26"/>
          <w:szCs w:val="26"/>
        </w:rPr>
        <w:t xml:space="preserve">7.1 Recomendaciones clínicas</w:t>
      </w:r>
    </w:p>
    <w:p>
      <w:pPr>
        <w:spacing w:after="120"/>
      </w:pPr>
      <w:r>
        <w:rPr>
          <w:sz w:val="22"/>
          <w:szCs w:val="22"/>
        </w:rPr>
        <w:t xml:space="preserve">Genera recomendaciones automáticas por reglas a partir del IMC del paciente (bajo peso, normal, sobrepeso, obesidad) y de la enfermedad vinculada del catálogo, además de las recomendaciones por clima.</w:t>
      </w:r>
    </w:p>
    <w:p>
      <w:pPr>
        <w:pStyle w:val="Heading2"/>
        <w:spacing w:after="120" w:before="240"/>
      </w:pPr>
      <w:r>
        <w:rPr>
          <w:b/>
          <w:bCs/>
          <w:color w:val="00843D"/>
          <w:sz w:val="26"/>
          <w:szCs w:val="26"/>
        </w:rPr>
        <w:t xml:space="preserve">7.2 Catálogo de tipos de enfermedades</w:t>
      </w:r>
    </w:p>
    <w:p>
      <w:pPr>
        <w:spacing w:after="120"/>
      </w:pPr>
      <w:r>
        <w:rPr>
          <w:sz w:val="22"/>
          <w:szCs w:val="22"/>
        </w:rPr>
        <w:t xml:space="preserve">Nueva tabla "enfermedades" y página catalogo_enfermedades.php para administrar el catálogo institucional. Se vincula de forma opcional desde el expediente clínico (campo enfermedad_id), sin eliminar el campo de diagnóstico de texto libre existente.</w:t>
      </w:r>
    </w:p>
    <w:p>
      <w:pPr>
        <w:pStyle w:val="Heading2"/>
        <w:spacing w:after="120" w:before="240"/>
      </w:pPr>
      <w:r>
        <w:rPr>
          <w:b/>
          <w:bCs/>
          <w:color w:val="00843D"/>
          <w:sz w:val="26"/>
          <w:szCs w:val="26"/>
        </w:rPr>
        <w:t xml:space="preserve">7.3 Recetas por videollamada</w:t>
      </w:r>
    </w:p>
    <w:p>
      <w:pPr>
        <w:spacing w:after="120"/>
      </w:pPr>
      <w:r>
        <w:rPr>
          <w:sz w:val="22"/>
          <w:szCs w:val="22"/>
        </w:rPr>
        <w:t xml:space="preserve">Cada cita con fecha programada genera automáticamente una sala de videollamada única (Jitsi Meet, sin costo ni API key), visible como botón "Iniciar videollamada" tanto en el expediente clínico como en la agenda médica.</w:t>
      </w:r>
    </w:p>
    <w:p>
      <w:pPr>
        <w:pBdr>
          <w:top w:val="single" w:color="CBD5E1" w:sz="4"/>
          <w:bottom w:val="single" w:color="CBD5E1" w:sz="4"/>
          <w:left w:val="single" w:color="CBD5E1" w:sz="4"/>
          <w:right w:val="single" w:color="CBD5E1" w:sz="4"/>
        </w:pBdr>
        <w:shd w:fill="F1F5F9" w:val="clear"/>
        <w:spacing w:after="200" w:before="100"/>
      </w:pPr>
      <w:r>
        <w:rPr>
          <w:rFonts w:ascii="Consolas" w:cs="Consolas" w:eastAsia="Consolas" w:hAnsi="Consolas"/>
          <w:color w:val="0F172A"/>
          <w:sz w:val="18"/>
          <w:szCs w:val="18"/>
        </w:rPr>
        <w:t xml:space="preserve">$hashCita = substr(sha1($paciente_id . $fecha_cita . $hora_cita . "medicore_salt"), 0, 10);</w:t>
      </w:r>
      <w:r>
        <w:br/>
      </w:r>
      <w:r>
        <w:rPr>
          <w:rFonts w:ascii="Consolas" w:cs="Consolas" w:eastAsia="Consolas" w:hAnsi="Consolas"/>
          <w:color w:val="0F172A"/>
          <w:sz w:val="18"/>
          <w:szCs w:val="18"/>
        </w:rPr>
        <w:t xml:space="preserve">$video_link = "https://meet.jit.si/MediCore-{$paciente_id}-{$hashCita}";</w:t>
      </w:r>
    </w:p>
    <w:p>
      <w:pPr>
        <w:pStyle w:val="Heading2"/>
        <w:spacing w:after="120" w:before="240"/>
      </w:pPr>
      <w:r>
        <w:rPr>
          <w:b/>
          <w:bCs/>
          <w:color w:val="00843D"/>
          <w:sz w:val="26"/>
          <w:szCs w:val="26"/>
        </w:rPr>
        <w:t xml:space="preserve">7.4 Ubicación</w:t>
      </w:r>
    </w:p>
    <w:p>
      <w:pPr>
        <w:spacing w:after="120"/>
      </w:pPr>
      <w:r>
        <w:rPr>
          <w:sz w:val="22"/>
          <w:szCs w:val="22"/>
        </w:rPr>
        <w:t xml:space="preserve">Descrito en la sección 5 (Google Maps).</w:t>
      </w:r>
    </w:p>
    <w:p>
      <w:pPr>
        <w:pStyle w:val="Heading1"/>
        <w:spacing w:after="150" w:before="300"/>
      </w:pPr>
      <w:r>
        <w:rPr>
          <w:b/>
          <w:bCs/>
          <w:color w:val="006C32"/>
          <w:sz w:val="30"/>
          <w:szCs w:val="30"/>
        </w:rPr>
        <w:t xml:space="preserve">8. Base de datos: nuevas tablas y columnas</w:t>
      </w:r>
    </w:p>
    <w:p>
      <w:pPr>
        <w:spacing w:after="120"/>
      </w:pPr>
      <w:r>
        <w:rPr>
          <w:sz w:val="22"/>
          <w:szCs w:val="22"/>
        </w:rPr>
        <w:t xml:space="preserve">Se documentó por primera vez el esquema completo de la base de datos (no existía un archivo .sql previo) en database/schema.sql, incluyendo las tablas existentes (medicos, usuarios, expedientes, contactos) y las nuevas:</w:t>
      </w:r>
    </w:p>
    <w:p>
      <w:pPr>
        <w:pStyle w:val="ListParagraph"/>
        <w:numPr>
          <w:ilvl w:val="0"/>
          <w:numId w:val="1"/>
        </w:numPr>
        <w:spacing w:after="60"/>
      </w:pPr>
      <w:r>
        <w:rPr>
          <w:sz w:val="22"/>
          <w:szCs w:val="22"/>
        </w:rPr>
        <w:t xml:space="preserve">password_resets — tokens de recuperación de contraseña</w:t>
      </w:r>
    </w:p>
    <w:p>
      <w:pPr>
        <w:pStyle w:val="ListParagraph"/>
        <w:numPr>
          <w:ilvl w:val="0"/>
          <w:numId w:val="1"/>
        </w:numPr>
        <w:spacing w:after="60"/>
      </w:pPr>
      <w:r>
        <w:rPr>
          <w:sz w:val="22"/>
          <w:szCs w:val="22"/>
        </w:rPr>
        <w:t xml:space="preserve">otp_codes — códigos de verificación Twilio</w:t>
      </w:r>
    </w:p>
    <w:p>
      <w:pPr>
        <w:pStyle w:val="ListParagraph"/>
        <w:numPr>
          <w:ilvl w:val="0"/>
          <w:numId w:val="1"/>
        </w:numPr>
        <w:spacing w:after="60"/>
      </w:pPr>
      <w:r>
        <w:rPr>
          <w:sz w:val="22"/>
          <w:szCs w:val="22"/>
        </w:rPr>
        <w:t xml:space="preserve">enfermedades — catálogo de tipos de enfermedades</w:t>
      </w:r>
    </w:p>
    <w:p>
      <w:pPr>
        <w:pStyle w:val="ListParagraph"/>
        <w:numPr>
          <w:ilvl w:val="0"/>
          <w:numId w:val="1"/>
        </w:numPr>
        <w:spacing w:after="60"/>
      </w:pPr>
      <w:r>
        <w:rPr>
          <w:sz w:val="22"/>
          <w:szCs w:val="22"/>
        </w:rPr>
        <w:t xml:space="preserve">sucursales — clínicas/hospitales para el módulo de Ubicación</w:t>
      </w:r>
    </w:p>
    <w:p>
      <w:pPr>
        <w:pStyle w:val="ListParagraph"/>
        <w:numPr>
          <w:ilvl w:val="0"/>
          <w:numId w:val="1"/>
        </w:numPr>
        <w:spacing w:after="60"/>
      </w:pPr>
      <w:r>
        <w:rPr>
          <w:sz w:val="22"/>
          <w:szCs w:val="22"/>
        </w:rPr>
        <w:t xml:space="preserve">Columnas nuevas en medicos: google_id, telefono, google_refresh_token, google_calendar_conectado</w:t>
      </w:r>
    </w:p>
    <w:p>
      <w:pPr>
        <w:pStyle w:val="ListParagraph"/>
        <w:numPr>
          <w:ilvl w:val="0"/>
          <w:numId w:val="1"/>
        </w:numPr>
        <w:spacing w:after="60"/>
      </w:pPr>
      <w:r>
        <w:rPr>
          <w:sz w:val="22"/>
          <w:szCs w:val="22"/>
        </w:rPr>
        <w:t xml:space="preserve">Columnas nuevas en expedientes: video_link, enfermedad_id</w:t>
      </w:r>
    </w:p>
    <w:p>
      <w:pPr>
        <w:pStyle w:val="Heading1"/>
        <w:spacing w:after="150" w:before="300"/>
      </w:pPr>
      <w:r>
        <w:rPr>
          <w:b/>
          <w:bCs/>
          <w:color w:val="006C32"/>
          <w:sz w:val="30"/>
          <w:szCs w:val="30"/>
        </w:rPr>
        <w:t xml:space="preserve">9. Certificaciones y estándares documentados</w:t>
      </w:r>
    </w:p>
    <w:p>
      <w:pPr>
        <w:spacing w:after="120"/>
      </w:pPr>
      <w:r>
        <w:rPr>
          <w:sz w:val="22"/>
          <w:szCs w:val="22"/>
        </w:rPr>
        <w:t xml:space="preserve">Se creó el archivo SECURITY.md con la alineación de MediCore a: OWASP Top 10 (tabla de mitigaciones por riesgo), TLS/HTTPS, referencia a ISO/IEC 27001, Ley Federal de Protección de Datos Personales en Posesión de los Particulares, uso de Bcrypt, tokens CSRF, validación de entradas, RBAC, auditoría vía seguridad.log y políticas de sesión segura.</w:t>
      </w:r>
    </w:p>
    <w:p>
      <w:pPr>
        <w:pStyle w:val="Heading1"/>
        <w:spacing w:after="150" w:before="300"/>
      </w:pPr>
      <w:r>
        <w:rPr>
          <w:b/>
          <w:bCs/>
          <w:color w:val="006C32"/>
          <w:sz w:val="30"/>
          <w:szCs w:val="30"/>
        </w:rPr>
        <w:t xml:space="preserve">Conclusiones del anexo</w:t>
      </w:r>
    </w:p>
    <w:p>
      <w:pPr>
        <w:spacing w:after="120"/>
      </w:pPr>
      <w:r>
        <w:rPr>
          <w:sz w:val="22"/>
          <w:szCs w:val="22"/>
        </w:rPr>
        <w:t xml:space="preserve">La incorporación de estas APIs y módulos amplía las capacidades de MediCore sin modificar ni eliminar ninguna funcionalidad existente: todas las integraciones son aditivas, se desactivan solas si no hay credenciales configuradas, y se documentaron en database/schema.sql y SECURITY.md para mantener la trazabilidad técnica y académica del proyecto. Esto demuestra en la práctica los conceptos de Web Services, APIs de terceros y mecanismos de autenticación remota estudiados en la Actividad 3.2, aplicados directamente sobre un sistema clínico real.</w:t>
      </w:r>
    </w:p>
    <w:p>
      <w:pPr>
        <w:spacing w:after="120"/>
      </w:pPr>
      <w:r>
        <w:rPr>
          <w:i/>
          <w:iCs/>
          <w:color w:val="555555"/>
          <w:sz w:val="20"/>
          <w:szCs w:val="20"/>
        </w:rPr>
        <w:t xml:space="preserve">Nota para el alumno: este anexo describe el código ya implementado. Para completar la evidencia académica, agrega tus propias capturas de pantalla de cada módulo funcionando en tu entorno local (tras configurar el archivo .env con credenciales de prueba), siguiendo el mismo formato de "Captura/Figura" usado en el resto de la Actividad 3.2.</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2026-07-07T01:54:07.451Z</dcterms:created>
  <dcterms:modified xsi:type="dcterms:W3CDTF">2026-07-07T01:54:07.451Z</dcterms:modified>
</cp:coreProperties>
</file>

<file path=docProps/custom.xml><?xml version="1.0" encoding="utf-8"?>
<Properties xmlns="http://schemas.openxmlformats.org/officeDocument/2006/custom-properties" xmlns:vt="http://schemas.openxmlformats.org/officeDocument/2006/docPropsVTypes"/>
</file>