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pPr>
      <w:r>
        <w:rPr>
          <w:b/>
          <w:bCs/>
          <w:sz w:val="28"/>
          <w:szCs w:val="28"/>
        </w:rPr>
        <w:t>Introduction</w:t>
      </w:r>
      <w:r/>
    </w:p>
    <w:p>
      <w:pPr>
        <w:pStyle w:val="Normal"/>
        <w:numPr>
          <w:ilvl w:val="0"/>
          <w:numId w:val="0"/>
        </w:numPr>
      </w:pPr>
      <w:r>
        <w:rPr>
          <w:b w:val="false"/>
          <w:bCs w:val="false"/>
          <w:sz w:val="28"/>
          <w:szCs w:val="28"/>
        </w:rPr>
        <w:t>Motivation for the EDM search project.</w:t>
      </w:r>
      <w:r/>
    </w:p>
    <w:p>
      <w:pPr>
        <w:pStyle w:val="Normal"/>
        <w:numPr>
          <w:ilvl w:val="0"/>
          <w:numId w:val="1"/>
        </w:numPr>
      </w:pPr>
      <w:r>
        <w:rPr>
          <w:b/>
          <w:bCs/>
          <w:sz w:val="28"/>
          <w:szCs w:val="28"/>
        </w:rPr>
        <w:t>The Koop Spin Wheel method</w:t>
      </w:r>
      <w:r/>
    </w:p>
    <w:p>
      <w:pPr>
        <w:pStyle w:val="Normal"/>
        <w:numPr>
          <w:ilvl w:val="0"/>
          <w:numId w:val="0"/>
        </w:numPr>
      </w:pPr>
      <w:r>
        <w:rPr>
          <w:b w:val="false"/>
          <w:bCs w:val="false"/>
          <w:sz w:val="28"/>
          <w:szCs w:val="28"/>
        </w:rPr>
        <w:t>Why invent the [frequency domain method]</w:t>
      </w:r>
      <w:r>
        <w:rPr>
          <w:rStyle w:val="FootnoteAnchor"/>
          <w:b w:val="false"/>
          <w:bCs w:val="false"/>
          <w:sz w:val="28"/>
          <w:szCs w:val="28"/>
        </w:rPr>
        <w:footnoteReference w:id="2"/>
      </w:r>
      <w:r>
        <w:rPr>
          <w:b w:val="false"/>
          <w:bCs w:val="false"/>
          <w:sz w:val="28"/>
          <w:szCs w:val="28"/>
        </w:rPr>
        <w:t xml:space="preserve"> if the SW method seems to address the machine imperfections problem.</w:t>
      </w:r>
      <w:r>
        <w:rPr>
          <w:rStyle w:val="FootnoteAnchor"/>
          <w:b w:val="false"/>
          <w:bCs w:val="false"/>
          <w:sz w:val="28"/>
          <w:szCs w:val="28"/>
        </w:rPr>
        <w:footnoteReference w:id="3"/>
      </w:r>
      <w:r>
        <w:rPr>
          <w:b w:val="false"/>
          <w:bCs w:val="false"/>
          <w:sz w:val="28"/>
          <w:szCs w:val="28"/>
        </w:rPr>
        <w:t xml:space="preserve"> Basically, this section is a study of the weak points of the SW method.</w:t>
      </w:r>
      <w:r/>
    </w:p>
    <w:p>
      <w:pPr>
        <w:pStyle w:val="Normal"/>
        <w:numPr>
          <w:ilvl w:val="0"/>
          <w:numId w:val="1"/>
        </w:numPr>
      </w:pPr>
      <w:r>
        <w:rPr>
          <w:b/>
          <w:bCs/>
          <w:sz w:val="28"/>
          <w:szCs w:val="28"/>
        </w:rPr>
        <w:t>The [FDM]</w:t>
      </w:r>
      <w:r/>
    </w:p>
    <w:p>
      <w:pPr>
        <w:pStyle w:val="Normal"/>
        <w:numPr>
          <w:ilvl w:val="0"/>
          <w:numId w:val="0"/>
        </w:numPr>
      </w:pPr>
      <w:r>
        <w:rPr>
          <w:b w:val="false"/>
          <w:bCs w:val="false"/>
          <w:sz w:val="28"/>
          <w:szCs w:val="28"/>
        </w:rPr>
        <w:t>In this section we need to focus on how the [FDM] solves/circumvents the weaknesses outlined in the previous section.</w:t>
      </w:r>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0"/>
          <w:sz w:val="20"/>
          <w:szCs w:val="20"/>
        </w:rPr>
      </w:pPr>
      <w:r>
        <w:rPr/>
        <w:footnoteRef/>
        <w:tab/>
        <w:t>The method needs renaming. Frequency domain is too general and is not descriptive of the method's characteristic features.</w:t>
      </w:r>
      <w:r/>
    </w:p>
  </w:footnote>
  <w:footnote w:id="3">
    <w:p>
      <w:pPr>
        <w:pStyle w:val="Footnote"/>
        <w:rPr>
          <w:sz w:val="20"/>
          <w:sz w:val="20"/>
          <w:szCs w:val="20"/>
        </w:rPr>
      </w:pPr>
      <w:r>
        <w:rPr/>
        <w:footnoteRef/>
        <w:tab/>
        <w:t>Secondary beam spin decoherence is not a problem for this method as it is for the Doubly-magic ring, since the secondary beam is unpolarized. One criticism that comes to mind is whether the vertical orbit separation of the two beams will be sufficient for radial magnetic field calibration purposes. Another is that the orbit separation is due to two magnetic fields: the “solenoid” field, which we can control easily by just turning knobs on the solenoid, and the machine imperfections field, which can only be controlled via guide field manipulations.</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ejaVu Sans"/>
      <w:color w:val="auto"/>
      <w:sz w:val="24"/>
      <w:szCs w:val="24"/>
      <w:lang w:val="en-US" w:eastAsia="zh-CN" w:bidi="hi-IN"/>
    </w:rPr>
  </w:style>
  <w:style w:type="character" w:styleId="NumberingSymbols">
    <w:name w:val="Numbering Symbols"/>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note">
    <w:name w:val="Footnote"/>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3365</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2019-08-20T11:12:48Z</dcterms:created>
  <dc:creator>Alexander Aksentev</dc:creator>
  <dc:language>en-US</dc:language>
  <cp:lastModifiedBy>Alexander Aksentev</cp:lastModifiedBy>
  <dcterms:modified xsi:type="dcterms:W3CDTF">2019-08-20T12:08:57Z</dcterms:modified>
  <cp:revision>10</cp:revision>
</cp:coreProperties>
</file>