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588" w:after="567"/>
        <w:rPr>
          <w:sz w:val="34"/>
          <w:b/>
          <w:sz w:val="34"/>
          <w:b/>
          <w:szCs w:val="34"/>
          <w:rFonts w:ascii="Times" w:hAnsi="Times"/>
          <w:lang w:eastAsia="en-US"/>
        </w:rPr>
      </w:pPr>
      <w:r>
        <w:rPr/>
        <w:t>Modeling of spin-orbital dynamics in a storage ring</w:t>
      </w:r>
      <w:r/>
    </w:p>
    <w:p>
      <w:pPr>
        <w:pStyle w:val="Authors"/>
      </w:pPr>
      <w:r>
        <w:rPr/>
        <w:t>Alexander Aksentev</w:t>
      </w:r>
      <w:r>
        <w:rPr>
          <w:vertAlign w:val="superscript"/>
        </w:rPr>
        <w:t>1,2*</w:t>
      </w:r>
      <w:r>
        <w:rPr>
          <w:position w:val="0"/>
          <w:sz w:val="22"/>
          <w:vertAlign w:val="baseline"/>
        </w:rPr>
        <w:t>,</w:t>
      </w:r>
      <w:r>
        <w:rPr/>
        <w:t xml:space="preserve"> Yury Senichev</w:t>
      </w:r>
      <w:r>
        <w:rPr>
          <w:vertAlign w:val="superscript"/>
        </w:rPr>
        <w:t>2</w:t>
      </w:r>
      <w:r/>
    </w:p>
    <w:p>
      <w:pPr>
        <w:pStyle w:val="Addresses"/>
        <w:spacing w:before="0" w:after="0"/>
      </w:pPr>
      <w:r>
        <w:rPr>
          <w:vertAlign w:val="superscript"/>
        </w:rPr>
        <w:t>1</w:t>
      </w:r>
      <w:r>
        <w:rPr/>
        <w:t xml:space="preserve"> National Research Nuclear University “MEPhI,” Moscow, Russia</w:t>
      </w:r>
      <w:r/>
    </w:p>
    <w:p>
      <w:pPr>
        <w:pStyle w:val="Email"/>
        <w:spacing w:before="0" w:after="0"/>
      </w:pPr>
      <w:r>
        <w:rPr>
          <w:vertAlign w:val="superscript"/>
        </w:rPr>
        <w:t>2</w:t>
      </w:r>
      <w:r>
        <w:rPr/>
        <w:t xml:space="preserve"> Forschungszentrul Jülich, Jülich, Germany</w:t>
      </w:r>
      <w:r/>
    </w:p>
    <w:p>
      <w:pPr>
        <w:pStyle w:val="Email"/>
      </w:pPr>
      <w:r>
        <w:rPr/>
      </w:r>
      <w:r/>
    </w:p>
    <w:p>
      <w:pPr>
        <w:pStyle w:val="Email"/>
        <w:rPr>
          <w:sz w:val="22"/>
          <w:sz w:val="22"/>
          <w:szCs w:val="22"/>
          <w:rFonts w:ascii="Times" w:hAnsi="Times"/>
          <w:lang w:val="en-US" w:eastAsia="en-US"/>
        </w:rPr>
      </w:pPr>
      <w:r>
        <w:rPr/>
        <w:t>* a.aksentev@fz-juelich.de</w:t>
      </w:r>
      <w:r/>
    </w:p>
    <w:p>
      <w:pPr>
        <w:pStyle w:val="Abstract"/>
      </w:pPr>
      <w:r>
        <w:rPr>
          <w:b/>
        </w:rPr>
        <w:t>Abstract</w:t>
      </w:r>
      <w:r>
        <w:rPr/>
        <w:t xml:space="preserve">. </w:t>
      </w:r>
      <w:r>
        <w:rPr>
          <w:sz w:val="22"/>
          <w:szCs w:val="22"/>
        </w:rPr>
        <w:t>T</w:t>
      </w:r>
      <w:r>
        <w:rPr>
          <w:rFonts w:cs="Times New Roman" w:ascii="Times New Roman" w:hAnsi="Times New Roman"/>
          <w:sz w:val="22"/>
          <w:szCs w:val="22"/>
          <w:lang w:val="en"/>
        </w:rPr>
        <w:t>he idea of searching for the electric dipole moment of the proton by using a polarized beam in a frozen spin storage ring was originally proposed at B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rookhaven </w:t>
      </w:r>
      <w:r>
        <w:rPr>
          <w:rFonts w:cs="Times New Roman" w:ascii="Times New Roman" w:hAnsi="Times New Roman"/>
          <w:sz w:val="22"/>
          <w:szCs w:val="22"/>
          <w:lang w:val="en"/>
        </w:rPr>
        <w:t>N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ational </w:t>
      </w:r>
      <w:r>
        <w:rPr>
          <w:rFonts w:cs="Times New Roman" w:ascii="Times New Roman" w:hAnsi="Times New Roman"/>
          <w:sz w:val="22"/>
          <w:szCs w:val="22"/>
          <w:lang w:val="en"/>
        </w:rPr>
        <w:t>L</w:t>
      </w:r>
      <w:r>
        <w:rPr>
          <w:rFonts w:cs="Times New Roman" w:ascii="Times New Roman" w:hAnsi="Times New Roman"/>
          <w:sz w:val="22"/>
          <w:szCs w:val="22"/>
          <w:lang w:val="en"/>
        </w:rPr>
        <w:t>aboratory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(USA). </w:t>
      </w:r>
      <w:r>
        <w:rPr>
          <w:rFonts w:cs="Times New Roman" w:ascii="Times New Roman" w:hAnsi="Times New Roman"/>
          <w:sz w:val="22"/>
          <w:szCs w:val="22"/>
          <w:lang w:val="en"/>
        </w:rPr>
        <w:t>Currently, the “Jülich Electric Dipole Moment Investigations” (JEDI) collaboration is developing the conceptual design of such a ring specifically for the search of the deuteron electric dipole moment. The present paper ...</w:t>
      </w:r>
      <w:r/>
    </w:p>
    <w:p>
      <w:pPr>
        <w:pStyle w:val="Section"/>
        <w:numPr>
          <w:ilvl w:val="0"/>
          <w:numId w:val="2"/>
        </w:numPr>
      </w:pPr>
      <w:r>
        <w:rPr/>
        <w:t xml:space="preserve">The </w:t>
      </w:r>
      <w:r>
        <w:rPr/>
        <w:t>Frozen and Quasi-frozen Spin concepts</w:t>
      </w:r>
      <w:r/>
    </w:p>
    <w:p>
      <w:pPr>
        <w:pStyle w:val="Bodytext"/>
      </w:pPr>
      <w:r>
        <w:rPr/>
        <w:t>The</w:t>
      </w:r>
      <w:r>
        <w:rPr/>
        <w:t xml:space="preserve">re exist two design approaches to the problem of measuring the deuteron Electric Dipole Moment (dEDM) inside a storage ring: the Frozen Spin (FS) lattice, and the Quasi-Frozen Spin (QFS) lattice. </w:t>
      </w:r>
      <w:r/>
    </w:p>
    <w:p>
      <w:pPr>
        <w:pStyle w:val="BodytextIndented"/>
        <w:ind w:left="0" w:firstLine="284"/>
      </w:pPr>
      <w:r>
        <w:rPr/>
        <w:t>In the FS ring design, the spin of a beam particle is aligned with its momentum at any point in time; this allows the maximization of the useful signal, but requires that the energy of the particle be its so-called “magical energy”  – a condition that cannot be fulfilled exactly for an ensemble of particles. The QFS design does not require the continuous fulfillment of the Frozen Spin condition; the cost for this is a slight (on the order of percents) degradation of the EDM signal.</w:t>
      </w:r>
      <w:r/>
    </w:p>
    <w:p>
      <w:pPr>
        <w:pStyle w:val="BodytextIndented"/>
        <w:ind w:left="0" w:firstLine="284"/>
      </w:pPr>
      <w:r>
        <w:rPr/>
        <w:t>In order to decide which design solution is preferable for the attainment of the target accuracy (upped bound on the dEDM at 10</w:t>
      </w:r>
      <w:r>
        <w:rPr>
          <w:vertAlign w:val="superscript"/>
        </w:rPr>
        <w:t>-24</w:t>
      </w:r>
      <w:r>
        <w:rPr/>
        <w:t xml:space="preserve"> e</w:t>
      </w:r>
      <w:r>
        <w:rPr>
          <w:rFonts w:ascii="DejaVu Sans" w:hAnsi="DejaVu Sans"/>
        </w:rPr>
        <w:t>·</w:t>
      </w:r>
      <w:r>
        <w:rPr/>
        <w:t>cm) one has to model the spin-orbital dynamics of the beam inside both lattices. The present work deals with some problems that are inherent in this enterprise.</w:t>
      </w:r>
      <w:r/>
    </w:p>
    <w:p>
      <w:pPr>
        <w:pStyle w:val="Section"/>
        <w:numPr>
          <w:ilvl w:val="0"/>
          <w:numId w:val="2"/>
        </w:numPr>
        <w:rPr>
          <w:sz w:val="22"/>
          <w:b/>
          <w:sz w:val="22"/>
          <w:b/>
          <w:szCs w:val="22"/>
          <w:iCs/>
          <w:rFonts w:ascii="Times" w:hAnsi="Times"/>
          <w:color w:val="000000"/>
          <w:lang w:eastAsia="en-US"/>
        </w:rPr>
      </w:pPr>
      <w:r>
        <w:rPr/>
        <w:t>Experiment systematics</w:t>
      </w:r>
      <w:r/>
    </w:p>
    <w:p>
      <w:pPr>
        <w:pStyle w:val="Bodytext"/>
        <w:rPr>
          <w:sz w:val="22"/>
          <w:sz w:val="22"/>
          <w:szCs w:val="22"/>
          <w:iCs/>
          <w:rFonts w:ascii="Times" w:hAnsi="Times"/>
          <w:color w:val="000000"/>
          <w:lang w:val="en-US" w:eastAsia="en-US"/>
        </w:rPr>
      </w:pPr>
      <w:r>
        <w:rPr/>
        <w:t>The spin dynamics are determined by the Thomas-BMT equation:</w:t>
      </w:r>
      <w:r/>
    </w:p>
    <w:p>
      <w:pPr>
        <w:pStyle w:val="Bodytext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f>
          <m:fPr>
            <m:type m:val="lin"/>
          </m:fPr>
          <m:num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r>
          <w:rPr>
            <w:rFonts w:ascii="Cambria Math" w:hAnsi="Cambria Math"/>
          </w:rPr>
          <m:t xml:space="preserve">×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  <m:r>
          <w:rPr>
            <w:rFonts w:ascii="Cambria Math" w:hAnsi="Cambria Math"/>
          </w:rPr>
          <m:t xml:space="preserve">,</m:t>
        </m:r>
      </m:oMath>
      <w:r/>
    </w:p>
    <w:p>
      <w:pPr>
        <w:pStyle w:val="Bodytext"/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</m:acc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η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.</m:t>
        </m:r>
      </m:oMath>
      <w:r/>
    </w:p>
    <w:p>
      <w:pPr>
        <w:pStyle w:val="Bodytext"/>
        <w:rPr>
          <w:sz w:val="22"/>
          <w:sz w:val="22"/>
          <w:szCs w:val="22"/>
          <w:iCs/>
          <w:rFonts w:ascii="Times" w:hAnsi="Times"/>
          <w:color w:val="000000"/>
          <w:lang w:val="en-US" w:eastAsia="en-US"/>
        </w:rPr>
      </w:pPr>
      <w:r>
        <w:rPr/>
        <w:t xml:space="preserve"> </w:t>
      </w:r>
      <w:r>
        <w:rPr/>
        <w:t xml:space="preserve">In the above equation, the first two terms are caused by the </w:t>
      </w:r>
      <w:r/>
    </w:p>
    <w:p>
      <w:pPr>
        <w:pStyle w:val="BodytextIndented"/>
      </w:pPr>
      <w:r>
        <w:rPr/>
        <w:t>Other paragraphs are indented (BodytextIndented style).</w:t>
      </w:r>
      <w:r/>
    </w:p>
    <w:p>
      <w:pPr>
        <w:pStyle w:val="Heading2"/>
      </w:pPr>
      <w:r>
        <w:rPr/>
        <w:t>A subsection</w:t>
      </w:r>
      <w:r/>
    </w:p>
    <w:p>
      <w:pPr>
        <w:pStyle w:val="Bodytext"/>
      </w:pPr>
      <w:r>
        <w:rPr/>
        <w:t xml:space="preserve">Some text. </w:t>
      </w:r>
      <w:r/>
    </w:p>
    <w:p>
      <w:pPr>
        <w:pStyle w:val="Subsubsection"/>
        <w:numPr>
          <w:ilvl w:val="2"/>
          <w:numId w:val="2"/>
        </w:numPr>
        <w:rPr>
          <w:i w:val="false"/>
          <w:i w:val="false"/>
        </w:rPr>
      </w:pPr>
      <w:r>
        <w:rPr/>
        <w:t>A subsubsection.</w:t>
      </w:r>
      <w:r>
        <w:rPr>
          <w:i w:val="false"/>
        </w:rPr>
        <w:t xml:space="preserve"> The paragraph text follows on from the subsubsection heading but should not be in italic. </w:t>
      </w:r>
      <w:r/>
    </w:p>
    <w:p>
      <w:pPr>
        <w:pStyle w:val="Sectionnonumber"/>
      </w:pPr>
      <w:r>
        <w:rPr/>
        <w:t>References</w:t>
      </w:r>
      <w:r/>
    </w:p>
    <w:p>
      <w:pPr>
        <w:pStyle w:val="Reference"/>
        <w:numPr>
          <w:ilvl w:val="0"/>
          <w:numId w:val="3"/>
        </w:numPr>
        <w:rPr>
          <w:sz w:val="22"/>
          <w:sz w:val="22"/>
          <w:szCs w:val="22"/>
          <w:iCs/>
          <w:rFonts w:ascii="Times" w:hAnsi="Times"/>
          <w:color w:val="000000"/>
          <w:lang w:eastAsia="en-US"/>
        </w:rPr>
      </w:pPr>
      <w:r>
        <w:rPr/>
      </w:r>
      <w:r/>
    </w:p>
    <w:p>
      <w:pPr>
        <w:pStyle w:val="Reference"/>
        <w:numPr>
          <w:ilvl w:val="0"/>
          <w:numId w:val="3"/>
        </w:numPr>
        <w:rPr>
          <w:sz w:val="22"/>
          <w:sz w:val="22"/>
          <w:szCs w:val="22"/>
          <w:iCs/>
          <w:rFonts w:ascii="Times" w:hAnsi="Times"/>
          <w:color w:val="000000"/>
          <w:lang w:eastAsia="en-US"/>
        </w:rPr>
      </w:pPr>
      <w:r>
        <w:rPr/>
        <w:t>Another reference</w:t>
      </w:r>
      <w:r/>
    </w:p>
    <w:p>
      <w:pPr>
        <w:pStyle w:val="Reference"/>
        <w:numPr>
          <w:ilvl w:val="0"/>
          <w:numId w:val="3"/>
        </w:numPr>
        <w:rPr>
          <w:sz w:val="22"/>
          <w:sz w:val="22"/>
          <w:szCs w:val="22"/>
          <w:iCs/>
          <w:rFonts w:ascii="Times" w:hAnsi="Times"/>
          <w:color w:val="000000"/>
          <w:lang w:eastAsia="en-US"/>
        </w:rPr>
      </w:pPr>
      <w:r>
        <w:rPr/>
        <w:t>More references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headerReference w:type="default" r:id="rId2"/>
      <w:type w:val="nextPage"/>
      <w:pgSz w:w="11906" w:h="16838"/>
      <w:pgMar w:left="1418" w:right="1418" w:header="0" w:top="2268" w:footer="0" w:bottom="153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</w:pPr>
    <w:r>
      <w:rPr/>
    </w:r>
    <w:r/>
  </w:p>
  <w:p>
    <w:pPr>
      <w:pStyle w:val="Normal"/>
    </w:pPr>
    <w:r>
      <w:rPr/>
    </w:r>
    <w:r/>
  </w:p>
  <w:p>
    <w:pPr>
      <w:pStyle w:val="Normal"/>
    </w:pPr>
    <w:r>
      <w:rPr/>
    </w:r>
    <w:r/>
  </w:p>
  <w:p>
    <w:pPr>
      <w:pStyle w:val="Normal"/>
    </w:pPr>
    <w:r>
      <w:rPr/>
    </w:r>
    <w:r/>
  </w:p>
  <w:p>
    <w:pPr>
      <w:pStyle w:val="Normal"/>
    </w:pPr>
    <w:r>
      <w:rPr/>
    </w:r>
    <w:r/>
  </w:p>
  <w:p>
    <w:pPr>
      <w:pStyle w:val="Normal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Article %1."/>
      <w:lvlJc w:val="left"/>
      <w:pPr>
        <w:tabs>
          <w:tab w:val="num" w:pos="144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lvl w:ilvl="0">
      <w:start w:val="1"/>
      <w:numFmt w:val="decimal"/>
      <w:suff w:val="nothing"/>
      <w:lvlText w:val="%1.  "/>
      <w:lvlJc w:val="left"/>
      <w:pPr>
        <w:ind w:left="0" w:hanging="0"/>
      </w:pPr>
    </w:lvl>
    <w:lvl w:ilvl="1">
      <w:start w:val="1"/>
      <w:numFmt w:val="decimal"/>
      <w:suff w:val="nothing"/>
      <w:lvlText w:val="%1.%2.  "/>
      <w:lvlJc w:val="left"/>
      <w:pPr>
        <w:ind w:left="0" w:hanging="0"/>
      </w:pPr>
    </w:lvl>
    <w:lvl w:ilvl="2">
      <w:start w:val="1"/>
      <w:numFmt w:val="decimal"/>
      <w:suff w:val="nothing"/>
      <w:lvlText w:val="%1.%2.%3.  "/>
      <w:lvlJc w:val="left"/>
      <w:pPr>
        <w:ind w:left="0" w:hanging="-142"/>
      </w:pPr>
      <w:rPr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[%1]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51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" w:hAnsi="Times" w:eastAsia="Times New Roman" w:cs="Times New Roman"/>
      <w:color w:val="auto"/>
      <w:sz w:val="22"/>
      <w:szCs w:val="20"/>
      <w:lang w:eastAsia="en-US" w:val="en-GB" w:bidi="ar-SA"/>
    </w:rPr>
  </w:style>
  <w:style w:type="paragraph" w:styleId="Heading1">
    <w:name w:val="Heading 1"/>
    <w:basedOn w:val="Normal"/>
    <w:next w:val="Normal"/>
    <w:qFormat/>
    <w:pPr>
      <w:keepNext/>
      <w:widowControl w:val="false"/>
      <w:numPr>
        <w:ilvl w:val="0"/>
        <w:numId w:val="1"/>
      </w:numPr>
      <w:jc w:val="both"/>
      <w:outlineLvl w:val="0"/>
      <w:outlineLvl w:val="0"/>
    </w:pPr>
    <w:rPr>
      <w:rFonts w:ascii="Times New Roman" w:hAnsi="Times New Roman" w:eastAsia="SimSun"/>
      <w:b/>
      <w:sz w:val="24"/>
      <w:szCs w:val="24"/>
      <w:lang w:val="en-US" w:eastAsia="zh-CN"/>
    </w:rPr>
  </w:style>
  <w:style w:type="paragraph" w:styleId="Heading2">
    <w:name w:val="Heading 2"/>
    <w:next w:val="Normal"/>
    <w:autoRedefine/>
    <w:qFormat/>
    <w:rsid w:val="00733cb3"/>
    <w:pPr>
      <w:widowControl w:val="false"/>
      <w:suppressAutoHyphens w:val="true"/>
      <w:outlineLvl w:val="1"/>
    </w:pPr>
    <w:rPr>
      <w:rFonts w:ascii="Times New Roman" w:hAnsi="Times New Roman" w:eastAsia="Times New Roman" w:cs="Times New Roman"/>
      <w:i/>
      <w:color w:val="auto"/>
      <w:sz w:val="22"/>
      <w:szCs w:val="20"/>
      <w:lang w:val="en-GB" w:eastAsia="en-GB" w:bidi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semiHidden/>
    <w:rPr/>
  </w:style>
  <w:style w:type="character" w:styleId="SubsubsectionChar" w:customStyle="1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character" w:styleId="Endnotereference">
    <w:name w:val="endnote reference"/>
    <w:semiHidden/>
    <w:rPr>
      <w:vertAlign w:val="superscript"/>
    </w:rPr>
  </w:style>
  <w:style w:type="character" w:styleId="Pagenumber">
    <w:name w:val="page number"/>
    <w:basedOn w:val="DefaultParagraphFont"/>
    <w:semiHidden/>
    <w:rPr/>
  </w:style>
  <w:style w:type="character" w:styleId="ListLabel1">
    <w:name w:val="ListLabel 1"/>
    <w:rPr>
      <w:color w:val="00000A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i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Subsubsection" w:customStyle="1">
    <w:name w:val="Subsubsection"/>
    <w:link w:val="SubsubsectionChar"/>
    <w:pPr>
      <w:widowControl/>
      <w:suppressAutoHyphens w:val="true"/>
      <w:bidi w:val="0"/>
      <w:spacing w:before="240" w:after="0"/>
      <w:ind w:hanging="0"/>
      <w:jc w:val="left"/>
    </w:pPr>
    <w:rPr>
      <w:rFonts w:ascii="Times" w:hAnsi="Times" w:eastAsia="Times New Roman" w:cs="Times New Roman"/>
      <w:i/>
      <w:iCs/>
      <w:color w:val="000000"/>
      <w:sz w:val="22"/>
      <w:szCs w:val="22"/>
      <w:lang w:eastAsia="en-US" w:val="en-GB" w:bidi="ar-SA"/>
    </w:rPr>
  </w:style>
  <w:style w:type="paragraph" w:styleId="Bodytext" w:customStyle="1">
    <w:name w:val="Bodytext"/>
    <w:pPr>
      <w:widowControl/>
      <w:suppressAutoHyphens w:val="true"/>
      <w:bidi w:val="0"/>
      <w:jc w:val="both"/>
    </w:pPr>
    <w:rPr>
      <w:rFonts w:ascii="Times" w:hAnsi="Times" w:eastAsia="Times New Roman" w:cs="Times New Roman"/>
      <w:iCs/>
      <w:color w:val="000000"/>
      <w:sz w:val="22"/>
      <w:szCs w:val="22"/>
      <w:lang w:val="en-US" w:eastAsia="en-US" w:bidi="ar-SA"/>
    </w:rPr>
  </w:style>
  <w:style w:type="paragraph" w:styleId="BodytextIndented" w:customStyle="1">
    <w:name w:val="BodytextIndented"/>
    <w:basedOn w:val="Bodytext"/>
    <w:pPr>
      <w:ind w:firstLine="284"/>
    </w:pPr>
    <w:rPr/>
  </w:style>
  <w:style w:type="paragraph" w:styleId="Section" w:customStyle="1">
    <w:name w:val="Section"/>
    <w:next w:val="Bodytext"/>
    <w:pPr>
      <w:widowControl/>
      <w:suppressAutoHyphens w:val="true"/>
      <w:bidi w:val="0"/>
      <w:spacing w:before="240" w:after="0"/>
      <w:jc w:val="left"/>
    </w:pPr>
    <w:rPr>
      <w:rFonts w:ascii="Times" w:hAnsi="Times" w:eastAsia="Times New Roman" w:cs="Times New Roman"/>
      <w:b/>
      <w:iCs/>
      <w:color w:val="000000"/>
      <w:sz w:val="22"/>
      <w:szCs w:val="22"/>
      <w:lang w:eastAsia="en-US" w:val="en-GB" w:bidi="ar-SA"/>
    </w:rPr>
  </w:style>
  <w:style w:type="paragraph" w:styleId="Footnotetext">
    <w:name w:val="footnote text"/>
    <w:basedOn w:val="Normal"/>
    <w:semiHidden/>
    <w:pPr/>
    <w:rPr>
      <w:sz w:val="20"/>
    </w:rPr>
  </w:style>
  <w:style w:type="paragraph" w:styleId="Bulleted" w:customStyle="1">
    <w:name w:val="Bulleted"/>
    <w:pPr>
      <w:widowControl/>
      <w:suppressAutoHyphens w:val="true"/>
      <w:bidi w:val="0"/>
      <w:jc w:val="both"/>
    </w:pPr>
    <w:rPr>
      <w:rFonts w:ascii="Times" w:hAnsi="Times" w:eastAsia="Times New Roman" w:cs="Times New Roman"/>
      <w:color w:val="000000"/>
      <w:sz w:val="22"/>
      <w:szCs w:val="22"/>
      <w:lang w:eastAsia="en-US" w:val="en-GB" w:bidi="ar-SA"/>
    </w:rPr>
  </w:style>
  <w:style w:type="paragraph" w:styleId="Endnotetext">
    <w:name w:val="endnote text"/>
    <w:basedOn w:val="Normal"/>
    <w:semiHidden/>
    <w:pPr/>
    <w:rPr>
      <w:sz w:val="20"/>
    </w:rPr>
  </w:style>
  <w:style w:type="paragraph" w:styleId="Subsection" w:customStyle="1">
    <w:name w:val="Subsection"/>
    <w:next w:val="Bodytext"/>
    <w:pPr>
      <w:widowControl/>
      <w:suppressAutoHyphens w:val="true"/>
      <w:bidi w:val="0"/>
      <w:spacing w:before="240" w:after="0"/>
      <w:jc w:val="left"/>
    </w:pPr>
    <w:rPr>
      <w:rFonts w:ascii="Times" w:hAnsi="Times" w:eastAsia="Times New Roman" w:cs="Times New Roman"/>
      <w:iCs/>
      <w:color w:val="000000"/>
      <w:sz w:val="22"/>
      <w:szCs w:val="22"/>
      <w:lang w:eastAsia="en-US" w:val="en-GB" w:bidi="ar-SA"/>
    </w:rPr>
  </w:style>
  <w:style w:type="paragraph" w:styleId="Email" w:customStyle="1">
    <w:name w:val="E-mail"/>
    <w:pPr>
      <w:widowControl/>
      <w:suppressAutoHyphens w:val="true"/>
      <w:bidi w:val="0"/>
      <w:spacing w:before="0" w:after="240"/>
      <w:ind w:left="1418" w:hanging="0"/>
      <w:jc w:val="left"/>
    </w:pPr>
    <w:rPr>
      <w:rFonts w:ascii="Times" w:hAnsi="Times" w:eastAsia="Times New Roman" w:cs="Times New Roman"/>
      <w:color w:val="auto"/>
      <w:sz w:val="22"/>
      <w:szCs w:val="22"/>
      <w:lang w:val="en-US" w:eastAsia="en-US" w:bidi="ar-SA"/>
    </w:rPr>
  </w:style>
  <w:style w:type="paragraph" w:styleId="Abstract" w:customStyle="1">
    <w:name w:val="Abstract"/>
    <w:next w:val="Section"/>
    <w:pPr>
      <w:widowControl/>
      <w:suppressAutoHyphens w:val="true"/>
      <w:bidi w:val="0"/>
      <w:spacing w:before="0" w:after="454"/>
      <w:ind w:left="1418" w:hanging="0"/>
      <w:jc w:val="both"/>
    </w:pPr>
    <w:rPr>
      <w:rFonts w:ascii="Times" w:hAnsi="Times" w:eastAsia="Times New Roman" w:cs="Times New Roman"/>
      <w:color w:val="000000"/>
      <w:sz w:val="22"/>
      <w:szCs w:val="20"/>
      <w:lang w:eastAsia="en-US" w:val="en-GB" w:bidi="ar-SA"/>
    </w:rPr>
  </w:style>
  <w:style w:type="paragraph" w:styleId="Sectionnonumber" w:customStyle="1">
    <w:name w:val="Section (no number)"/>
    <w:next w:val="Bodytext"/>
    <w:pPr>
      <w:widowControl/>
      <w:suppressAutoHyphens w:val="true"/>
      <w:bidi w:val="0"/>
      <w:spacing w:before="240" w:after="0"/>
      <w:jc w:val="left"/>
    </w:pPr>
    <w:rPr>
      <w:rFonts w:ascii="Times" w:hAnsi="Times" w:eastAsia="Times New Roman" w:cs="Times New Roman"/>
      <w:b/>
      <w:iCs/>
      <w:color w:val="00000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spacing w:before="1588" w:after="567"/>
    </w:pPr>
    <w:rPr>
      <w:b/>
      <w:sz w:val="34"/>
      <w:szCs w:val="34"/>
    </w:rPr>
  </w:style>
  <w:style w:type="paragraph" w:styleId="Authors" w:customStyle="1">
    <w:name w:val="Authors"/>
    <w:pPr>
      <w:widowControl/>
      <w:suppressAutoHyphens w:val="true"/>
      <w:bidi w:val="0"/>
      <w:spacing w:before="0" w:after="113"/>
      <w:ind w:left="1418" w:hanging="0"/>
      <w:jc w:val="left"/>
    </w:pPr>
    <w:rPr>
      <w:rFonts w:ascii="Times" w:hAnsi="Times" w:eastAsia="Times New Roman" w:cs="Times New Roman"/>
      <w:b/>
      <w:color w:val="auto"/>
      <w:sz w:val="22"/>
      <w:szCs w:val="22"/>
      <w:lang w:eastAsia="en-US" w:val="en-GB" w:bidi="ar-SA"/>
    </w:rPr>
  </w:style>
  <w:style w:type="paragraph" w:styleId="Addresses" w:customStyle="1">
    <w:name w:val="Addresses"/>
    <w:next w:val="Email"/>
    <w:pPr>
      <w:widowControl/>
      <w:suppressAutoHyphens w:val="true"/>
      <w:bidi w:val="0"/>
      <w:spacing w:before="0" w:after="240"/>
      <w:ind w:left="1418" w:hanging="0"/>
      <w:jc w:val="left"/>
    </w:pPr>
    <w:rPr>
      <w:rFonts w:ascii="Times" w:hAnsi="Times" w:eastAsia="Times New Roman" w:cs="Times New Roman"/>
      <w:color w:val="auto"/>
      <w:sz w:val="22"/>
      <w:szCs w:val="22"/>
      <w:lang w:eastAsia="en-US" w:val="en-GB" w:bidi="ar-SA"/>
    </w:rPr>
  </w:style>
  <w:style w:type="paragraph" w:styleId="FigureCaption" w:customStyle="1">
    <w:name w:val="FigureCaption"/>
    <w:pPr>
      <w:widowControl/>
      <w:suppressAutoHyphens w:val="true"/>
      <w:bidi w:val="0"/>
      <w:spacing w:before="170" w:after="0"/>
      <w:ind w:left="28" w:hanging="0"/>
      <w:jc w:val="center"/>
    </w:pPr>
    <w:rPr>
      <w:rFonts w:ascii="Times" w:hAnsi="Times" w:eastAsia="Times New Roman" w:cs="Times New Roman"/>
      <w:color w:val="000000"/>
      <w:sz w:val="22"/>
      <w:szCs w:val="22"/>
      <w:lang w:eastAsia="en-US" w:val="en-GB" w:bidi="ar-SA"/>
    </w:rPr>
  </w:style>
  <w:style w:type="paragraph" w:styleId="Referencenonumber" w:customStyle="1">
    <w:name w:val="Reference (no number)"/>
    <w:pPr>
      <w:widowControl w:val="false"/>
      <w:suppressAutoHyphens w:val="true"/>
      <w:ind w:left="851" w:hanging="284"/>
    </w:pPr>
    <w:rPr>
      <w:rFonts w:ascii="Times New Roman" w:hAnsi="Times New Roman" w:eastAsia="Times New Roman" w:cs="Times New Roman"/>
      <w:color w:val="auto"/>
      <w:sz w:val="22"/>
      <w:szCs w:val="20"/>
      <w:lang w:val="en-GB" w:eastAsia="en-GB" w:bidi="ar-SA"/>
    </w:rPr>
  </w:style>
  <w:style w:type="paragraph" w:styleId="Reference" w:customStyle="1">
    <w:name w:val="Reference"/>
    <w:pPr>
      <w:widowControl w:val="false"/>
      <w:tabs>
        <w:tab w:val="left" w:pos="567" w:leader="none"/>
      </w:tabs>
      <w:suppressAutoHyphens w:val="true"/>
      <w:bidi w:val="0"/>
      <w:ind w:left="851" w:hanging="851"/>
      <w:jc w:val="both"/>
    </w:pPr>
    <w:rPr>
      <w:rFonts w:ascii="Times" w:hAnsi="Times" w:eastAsia="Times New Roman" w:cs="Times New Roman"/>
      <w:iCs/>
      <w:color w:val="000000"/>
      <w:sz w:val="22"/>
      <w:szCs w:val="22"/>
      <w:lang w:eastAsia="en-US" w:val="en-GB" w:bidi="ar-SA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C091-F326-4E50-985E-64F25D6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</Template>
  <TotalTime>7364</TotalTime>
  <Application>LibreOffice/4.3.3.2$Linux_X86_64 LibreOffice_project/430m0$Build-2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2015-09-02T08:53:00Z</dcterms:created>
  <dc:creator>George Evans</dc:creator>
  <cp:keywords>open access proceedings template fast affordable flexible</cp:keywords>
  <dc:language>en-US</dc:language>
  <cp:lastModifiedBy>Alexander Aksentev</cp:lastModifiedBy>
  <cp:lastPrinted>2005-02-25T09:52:00Z</cp:lastPrinted>
  <dcterms:modified xsi:type="dcterms:W3CDTF">2018-04-16T17:14:26Z</dcterms:modified>
  <cp:revision>17</cp:revision>
  <dc:title>Open Access proceedings Journal of Physics: Conference series</dc:title>
</cp:coreProperties>
</file>