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sz w:val="22"/>
          <w:szCs w:val="22"/>
        </w:rPr>
        <w:t>T</w:t>
      </w:r>
      <w:r>
        <w:rPr>
          <w:rFonts w:cs="Times New Roman" w:ascii="Times New Roman" w:hAnsi="Times New Roman"/>
          <w:sz w:val="22"/>
          <w:szCs w:val="22"/>
          <w:lang w:val="en"/>
        </w:rPr>
        <w:t>he idea of searching for the electric dipole moment of the proton by using a polarized beam in a frozen spin storage ring was originally proposed at Brookhaven National Laboratory (USA). Currently, the “Jülich Electric Dipole Moment Investigations” (JEDI) collaboration is developing the conceptual design of such a ring specifically for the search of the deuteron electric dipole moment. The present paper ...</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The QFS design does not require the continuous fulfillment of the Frozen Spin condition; the cost for this is a slight (on the order of percents) degradation of the EDM signal.</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cm) one has to model the spin-orbital dynamics of the beam inside both lattices. The present work deals with some problems that are inherent in this enterprise.</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 xml:space="preserve">In the original BNL proposal, a longitudinally polarized beam is injected in the storage ring, and the EDM is measured by the growth, over a long period, of its vertical polarization component. [1] </w:t>
      </w:r>
      <w:r>
        <w:rPr/>
        <w:t xml:space="preserve">The spin dynamics </w:t>
      </w:r>
      <w:r>
        <w:rPr/>
        <w:t xml:space="preserve">of a particle put into an electro-magnetic field </w:t>
      </w:r>
      <w:r>
        <w:rPr/>
        <w:t>are determined by the Thomas-B</w:t>
      </w:r>
      <w:r>
        <w:rPr/>
        <w:t>argmann-</w:t>
      </w:r>
      <w:r>
        <w:rPr/>
        <w:t>M</w:t>
      </w:r>
      <w:r>
        <w:rPr/>
        <w:t>ichel-</w:t>
      </w:r>
      <w:r>
        <w:rPr/>
        <w:t>T</w:t>
      </w:r>
      <w:r>
        <w:rPr/>
        <w:t>elegdi</w:t>
      </w:r>
      <w:r>
        <w:rPr/>
        <w:t xml:space="preserve"> equation:</w:t>
      </w:r>
      <w:r/>
    </w:p>
    <w:p>
      <w:pPr>
        <w:pStyle w:val="Bodytext"/>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w:t>
      </w:r>
      <w:r>
        <w:rPr>
          <w:iCs/>
          <w:color w:val="000000"/>
          <w:sz w:val="22"/>
          <w:szCs w:val="22"/>
          <w:lang w:val="en-US" w:eastAsia="en-US"/>
        </w:rPr>
        <w:t xml:space="preserve">s </w:t>
      </w:r>
      <w:r>
        <w:rPr>
          <w:iCs/>
          <w:color w:val="000000"/>
          <w:sz w:val="22"/>
          <w:szCs w:val="22"/>
          <w:lang w:val="en-US" w:eastAsia="en-US"/>
        </w:rPr>
        <w:t xml:space="preserve">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w:t>
      </w:r>
      <w:r>
        <w:rPr>
          <w:iCs/>
          <w:color w:val="000000"/>
          <w:sz w:val="22"/>
          <w:szCs w:val="22"/>
          <w:lang w:val="en-US" w:eastAsia="en-US"/>
        </w:rPr>
        <w:t xml:space="preserve">[2]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w:t>
      </w:r>
      <w:r>
        <w:rPr>
          <w:iCs/>
          <w:color w:val="000000"/>
          <w:sz w:val="22"/>
          <w:szCs w:val="22"/>
          <w:lang w:val="en-US" w:eastAsia="en-US"/>
        </w:rPr>
        <w:t>higher</w:t>
      </w:r>
      <w:r>
        <w:rPr>
          <w:iCs/>
          <w:color w:val="000000"/>
          <w:sz w:val="22"/>
          <w:szCs w:val="22"/>
          <w:lang w:val="en-US" w:eastAsia="en-US"/>
        </w:rPr>
        <w:t xml:space="preserve"> than </w:t>
      </w:r>
      <w:r>
        <w:rPr>
          <w:iCs/>
          <w:color w:val="000000"/>
          <w:sz w:val="22"/>
          <w:szCs w:val="22"/>
          <w:lang w:val="en-US" w:eastAsia="en-US"/>
        </w:rPr>
        <w:t>the one caused by</w:t>
      </w:r>
      <w:r>
        <w:rPr>
          <w:iCs/>
          <w:color w:val="000000"/>
          <w:sz w:val="22"/>
          <w:szCs w:val="22"/>
          <w:lang w:val="en-US" w:eastAsia="en-US"/>
        </w:rPr>
        <w:t xml:space="preserve"> </w:t>
      </w:r>
      <w:r>
        <w:rPr>
          <w:iCs/>
          <w:color w:val="000000"/>
          <w:sz w:val="22"/>
          <w:szCs w:val="22"/>
          <w:lang w:val="en-US" w:eastAsia="en-US"/>
        </w:rPr>
        <w:t>the</w:t>
      </w:r>
      <w:r>
        <w:rPr>
          <w:iCs/>
          <w:color w:val="000000"/>
          <w:sz w:val="22"/>
          <w:szCs w:val="22"/>
          <w:lang w:val="en-US" w:eastAsia="en-US"/>
        </w:rPr>
        <w:t xml:space="preserve"> EDM; th</w:t>
      </w:r>
      <w:r>
        <w:rPr>
          <w:iCs/>
          <w:color w:val="000000"/>
          <w:sz w:val="22"/>
          <w:szCs w:val="22"/>
          <w:lang w:val="en-US" w:eastAsia="en-US"/>
        </w:rPr>
        <w:t xml:space="preserve">e sensitivity of MDM precession to the element positioning inaccuracy </w:t>
      </w:r>
      <w:r>
        <w:rPr>
          <w:iCs/>
          <w:color w:val="000000"/>
          <w:sz w:val="22"/>
          <w:szCs w:val="22"/>
          <w:lang w:val="en-US" w:eastAsia="en-US"/>
        </w:rPr>
        <w:t xml:space="preserve">has to be </w:t>
      </w:r>
      <w:r>
        <w:rPr>
          <w:iCs/>
          <w:color w:val="000000"/>
          <w:sz w:val="22"/>
          <w:szCs w:val="22"/>
          <w:lang w:val="en-US" w:eastAsia="en-US"/>
        </w:rPr>
        <w:t>analyzed</w:t>
      </w:r>
      <w:r>
        <w:rPr>
          <w:iCs/>
          <w:color w:val="000000"/>
          <w:sz w:val="22"/>
          <w:szCs w:val="22"/>
          <w:lang w:val="en-US" w:eastAsia="en-US"/>
        </w:rPr>
        <w:t xml:space="preserve">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w:t>
      </w:r>
      <w:r>
        <w:rPr>
          <w:iCs/>
          <w:color w:val="000000"/>
          <w:sz w:val="22"/>
          <w:szCs w:val="22"/>
          <w:lang w:val="en-US" w:eastAsia="en-US"/>
        </w:rPr>
        <w:t>By Taylor-expanding t</w:t>
      </w:r>
      <w:r>
        <w:rPr>
          <w:iCs/>
          <w:color w:val="000000"/>
          <w:sz w:val="22"/>
          <w:szCs w:val="22"/>
          <w:lang w:val="en-US" w:eastAsia="en-US"/>
        </w:rPr>
        <w:t xml:space="preserve">he </w:t>
      </w:r>
      <w:r>
        <w:rPr>
          <w:iCs/>
          <w:color w:val="000000"/>
          <w:sz w:val="22"/>
          <w:szCs w:val="22"/>
          <w:lang w:val="en-US" w:eastAsia="en-US"/>
        </w:rPr>
        <w:t xml:space="preserve">expressions for the </w:t>
      </w:r>
      <w:r>
        <w:rPr>
          <w:iCs/>
          <w:color w:val="000000"/>
          <w:sz w:val="22"/>
          <w:szCs w:val="22"/>
          <w:lang w:val="en-US" w:eastAsia="en-US"/>
        </w:rPr>
        <w:t xml:space="preserve">spin tune in the electric </w:t>
      </w:r>
      <w:r>
        <w:rPr>
          <w:iCs/>
          <w:color w:val="000000"/>
          <w:sz w:val="22"/>
          <w:szCs w:val="22"/>
          <w:lang w:val="en-US" w:eastAsia="en-US"/>
        </w:rPr>
        <w:t>and magnetic</w:t>
      </w:r>
      <w:r>
        <w:rPr>
          <w:iCs/>
          <w:color w:val="000000"/>
          <w:sz w:val="22"/>
          <w:szCs w:val="22"/>
          <w:lang w:val="en-US" w:eastAsia="en-US"/>
        </w:rPr>
        <w:t xml:space="preserve"> field</w:t>
      </w:r>
      <w:r>
        <w:rPr>
          <w:iCs/>
          <w:color w:val="000000"/>
          <w:sz w:val="22"/>
          <w:szCs w:val="22"/>
          <w:lang w:val="en-US" w:eastAsia="en-US"/>
        </w:rPr>
        <w:t xml:space="preserve">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w:t>
      </w:r>
      <w:r>
        <w:rPr>
          <w:iCs/>
          <w:color w:val="000000"/>
          <w:sz w:val="22"/>
          <w:szCs w:val="22"/>
          <w:lang w:val="en-US" w:eastAsia="en-US"/>
        </w:rPr>
        <w:t xml:space="preserve"> </w:t>
      </w:r>
      <w:r>
        <w:rPr>
          <w:iCs/>
          <w:color w:val="000000"/>
          <w:sz w:val="22"/>
          <w:szCs w:val="22"/>
          <w:lang w:val="en-US" w:eastAsia="en-US"/>
        </w:rPr>
        <w:t>[2]</w:t>
      </w:r>
      <w:r/>
    </w:p>
    <w:p>
      <w:pPr>
        <w:pStyle w:val="BodytextIndented"/>
      </w:pPr>
      <w:r>
        <w:rPr>
          <w:iCs/>
          <w:color w:val="000000"/>
          <w:sz w:val="22"/>
          <w:szCs w:val="22"/>
          <w:lang w:val="en-US" w:eastAsia="en-US"/>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pPr>
      <w:r>
        <w:rPr>
          <w:iCs/>
          <w:color w:val="000000"/>
          <w:sz w:val="22"/>
          <w:szCs w:val="22"/>
          <w:lang w:val="en-US" w:eastAsia="en-US"/>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pPr>
      <w:r>
        <w:rPr>
          <w:iCs/>
          <w:color w:val="000000"/>
          <w:sz w:val="22"/>
          <w:szCs w:val="22"/>
          <w:lang w:val="en-US" w:eastAsia="en-US"/>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w:t>
      </w:r>
      <w:r>
        <w:rPr>
          <w:iCs/>
          <w:color w:val="000000"/>
          <w:position w:val="0"/>
          <w:sz w:val="22"/>
          <w:sz w:val="22"/>
          <w:szCs w:val="22"/>
          <w:vertAlign w:val="baseline"/>
          <w:lang w:val="en-US" w:eastAsia="en-US"/>
        </w:rPr>
        <w:t xml:space="preserve">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is the orbit lengthening due to betatron motion</w:t>
      </w:r>
      <w:r>
        <w:rPr>
          <w:iCs/>
          <w:color w:val="000000"/>
          <w:position w:val="0"/>
          <w:sz w:val="22"/>
          <w:sz w:val="22"/>
          <w:szCs w:val="22"/>
          <w:vertAlign w:val="baseline"/>
          <w:lang w:val="en-US" w:eastAsia="en-US"/>
        </w:rPr>
        <w:t xml:space="preserve">. </w:t>
      </w:r>
      <w:r>
        <w:rPr/>
        <w:t>The first term in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 xml:space="preserve">3. </w:t>
      </w:r>
      <w:r/>
    </w:p>
    <w:p>
      <w:pPr>
        <w:pStyle w:val="Heading2"/>
      </w:pPr>
      <w:r>
        <w:rPr/>
        <w:t>A subsection</w:t>
      </w:r>
      <w:r/>
    </w:p>
    <w:p>
      <w:pPr>
        <w:pStyle w:val="Bodytext"/>
      </w:pPr>
      <w:r>
        <w:rPr/>
        <w:t xml:space="preserve">Some text. </w:t>
      </w:r>
      <w:r/>
    </w:p>
    <w:p>
      <w:pPr>
        <w:pStyle w:val="Subsubsection"/>
        <w:numPr>
          <w:ilvl w:val="2"/>
          <w:numId w:val="1"/>
        </w:numPr>
        <w:rPr>
          <w:i w:val="false"/>
          <w:i w:val="false"/>
        </w:rPr>
      </w:pPr>
      <w:r>
        <w:rPr/>
        <w:t>A subsubsection.</w:t>
      </w:r>
      <w:r>
        <w:rPr>
          <w:i w:val="false"/>
        </w:rPr>
        <w:t xml:space="preserve"> The paragraph text follows on from the subsubsection heading but should not be in italic. </w:t>
      </w:r>
      <w:r/>
    </w:p>
    <w:p>
      <w:pPr>
        <w:pStyle w:val="Sectionnonumber"/>
      </w:pPr>
      <w:r>
        <w:rPr/>
        <w:t>References</w:t>
      </w:r>
      <w:r/>
    </w:p>
    <w:p>
      <w:pPr>
        <w:pStyle w:val="Reference"/>
        <w:numPr>
          <w:ilvl w:val="0"/>
          <w:numId w:val="2"/>
        </w:numPr>
      </w:pPr>
      <w:r>
        <w:rPr>
          <w:iCs/>
          <w:color w:val="000000"/>
          <w:sz w:val="22"/>
          <w:szCs w:val="22"/>
          <w:lang w:eastAsia="en-US"/>
        </w:rPr>
        <w:t xml:space="preserve">Anastassopoulos </w:t>
      </w:r>
      <w:r>
        <w:rPr>
          <w:iCs/>
          <w:color w:val="000000"/>
          <w:sz w:val="22"/>
          <w:szCs w:val="22"/>
          <w:lang w:eastAsia="en-US"/>
        </w:rPr>
        <w:t xml:space="preserve">D </w:t>
      </w:r>
      <w:r>
        <w:rPr>
          <w:iCs/>
          <w:color w:val="000000"/>
          <w:sz w:val="22"/>
          <w:szCs w:val="22"/>
          <w:lang w:eastAsia="en-US"/>
        </w:rPr>
        <w:t xml:space="preserve">et al. </w:t>
      </w:r>
      <w:r>
        <w:rPr>
          <w:iCs/>
          <w:color w:val="000000"/>
          <w:sz w:val="22"/>
          <w:szCs w:val="22"/>
          <w:lang w:eastAsia="en-US"/>
        </w:rPr>
        <w:t>2008</w:t>
      </w:r>
      <w:r>
        <w:rPr>
          <w:iCs/>
          <w:color w:val="000000"/>
          <w:sz w:val="22"/>
          <w:szCs w:val="22"/>
          <w:lang w:eastAsia="en-US"/>
        </w:rPr>
        <w:t xml:space="preserve">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xml:space="preserve">. Proc. RuPAC2016 (St. Petersburg, </w:t>
      </w:r>
      <w:r>
        <w:rPr>
          <w:iCs/>
          <w:color w:val="000000"/>
          <w:sz w:val="22"/>
          <w:szCs w:val="22"/>
          <w:lang w:eastAsia="en-US"/>
        </w:rPr>
        <w:t>Russia</w:t>
      </w:r>
      <w:r>
        <w:rPr>
          <w:iCs/>
          <w:color w:val="000000"/>
          <w:sz w:val="22"/>
          <w:szCs w:val="22"/>
          <w:lang w:eastAsia="en-US"/>
        </w:rPr>
        <w:t>)</w:t>
      </w:r>
      <w:r/>
    </w:p>
    <w:p>
      <w:pPr>
        <w:pStyle w:val="Reference"/>
        <w:numPr>
          <w:ilvl w:val="0"/>
          <w:numId w:val="2"/>
        </w:numPr>
        <w:rPr>
          <w:sz w:val="22"/>
          <w:sz w:val="22"/>
          <w:szCs w:val="22"/>
          <w:iCs/>
          <w:rFonts w:ascii="Times" w:hAnsi="Times"/>
          <w:color w:val="000000"/>
          <w:lang w:eastAsia="en-US"/>
        </w:rPr>
      </w:pPr>
      <w:r>
        <w:rPr/>
        <w:t>More references</w:t>
      </w:r>
      <w:r/>
    </w:p>
    <w:p>
      <w:pPr>
        <w:pStyle w:val="Normal"/>
      </w:pPr>
      <w:r>
        <w:rPr/>
      </w:r>
      <w:r/>
    </w:p>
    <w:p>
      <w:pPr>
        <w:pStyle w:val="Normal"/>
      </w:pPr>
      <w:r>
        <w:rPr/>
      </w:r>
      <w:r/>
    </w:p>
    <w:sectPr>
      <w:headerReference w:type="default" r:id="rId2"/>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Liberation Sans">
    <w:altName w:val="Arial"/>
    <w:charset w:val="01"/>
    <w:family w:val="swiss"/>
    <w:pitch w:val="variable"/>
  </w:font>
  <w:font w:name="DejaVu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11438</TotalTime>
  <Application>LibreOffice/4.3.3.2$Linux_X86_64 LibreOffice_project/430m0$Build-2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2018-04-17T13:33:29Z</dcterms:modified>
  <cp:revision>29</cp:revision>
  <dc:title>Open Access proceedings Journal of Physics: Conference series</dc:title>
</cp:coreProperties>
</file>