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Тема диссертации</w:t>
      </w:r>
      <w:r>
        <w:rPr>
          <w:rtl w:val="0"/>
        </w:rPr>
        <w:t xml:space="preserve">: </w:t>
      </w:r>
      <w:r>
        <w:rPr>
          <w:rtl w:val="0"/>
        </w:rPr>
        <w:t>Анализ магнитооптических структур … для поиска ЭДМ в накопительном кольце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Описание концепции поиска ЭДМ дейтрона методом накопительного кольца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Требования эксперимента к пучку</w:t>
      </w:r>
      <w:r>
        <w:rPr>
          <w:rtl w:val="0"/>
        </w:rPr>
        <w:t xml:space="preserve">, </w:t>
      </w:r>
      <w:r>
        <w:rPr>
          <w:rtl w:val="0"/>
        </w:rPr>
        <w:t>которые должна обеспечивать структура</w:t>
      </w:r>
      <w:r>
        <w:rPr>
          <w:rtl w:val="0"/>
        </w:rPr>
        <w:t>.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Время когерентности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Эмиттанс</w:t>
      </w:r>
      <w:r>
        <w:rPr>
          <w:rtl w:val="0"/>
        </w:rPr>
        <w:t>?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Энергетическая однородность</w:t>
      </w:r>
      <w:r>
        <w:rPr>
          <w:rtl w:val="0"/>
        </w:rPr>
        <w:t>?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(</w:t>
      </w:r>
      <w:r>
        <w:rPr>
          <w:rtl w:val="0"/>
        </w:rPr>
        <w:t>возможно</w:t>
      </w:r>
      <w:r>
        <w:rPr>
          <w:rtl w:val="0"/>
        </w:rPr>
        <w:t xml:space="preserve">) </w:t>
      </w:r>
      <w:r>
        <w:rPr>
          <w:rtl w:val="0"/>
        </w:rPr>
        <w:t>максимальная амплитуда бетатронных колебаний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Как с этими требованиями справляется структура </w:t>
      </w:r>
      <w:r>
        <w:rPr>
          <w:rtl w:val="0"/>
          <w:lang w:val="en-US"/>
        </w:rPr>
        <w:t xml:space="preserve">FS, </w:t>
      </w:r>
      <w:r>
        <w:rPr>
          <w:rtl w:val="0"/>
        </w:rPr>
        <w:t xml:space="preserve">как </w:t>
      </w:r>
      <w:r>
        <w:rPr>
          <w:rtl w:val="0"/>
          <w:lang w:val="en-US"/>
        </w:rPr>
        <w:t>QFS.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Тема диссертации</w:t>
      </w:r>
      <w:r>
        <w:rPr>
          <w:rtl w:val="0"/>
        </w:rPr>
        <w:t xml:space="preserve">: </w:t>
      </w:r>
      <w:r>
        <w:rPr>
          <w:rtl w:val="0"/>
        </w:rPr>
        <w:t xml:space="preserve">Поиск ЭДМ дейтрона в накопительном кольце методом </w:t>
      </w:r>
      <w:r>
        <w:rPr>
          <w:rtl w:val="0"/>
          <w:lang w:val="en-US"/>
        </w:rPr>
        <w:t>Frequency Domain.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Описание методологии</w:t>
      </w:r>
      <w:r>
        <w:rPr>
          <w:rtl w:val="0"/>
        </w:rPr>
        <w:t>.</w:t>
      </w:r>
    </w:p>
    <w:p>
      <w:pPr>
        <w:pStyle w:val="Body"/>
        <w:numPr>
          <w:ilvl w:val="1"/>
          <w:numId w:val="6"/>
        </w:numPr>
        <w:bidi w:val="0"/>
        <w:rPr>
          <w:color w:val="000000"/>
          <w:sz w:val="22"/>
        </w:rPr>
      </w:pPr>
      <w:r>
        <w:rPr>
          <w:rtl w:val="0"/>
        </w:rPr>
        <w:t>Вычисление ЭДМ на основе измерений частоты колебаний спин</w:t>
      </w:r>
      <w:r>
        <w:rPr>
          <w:rtl w:val="0"/>
        </w:rPr>
        <w:t>-</w:t>
      </w:r>
      <w:r>
        <w:rPr>
          <w:rtl w:val="0"/>
        </w:rPr>
        <w:t>вектора частицы</w:t>
      </w:r>
      <w:r>
        <w:rPr>
          <w:rtl w:val="0"/>
        </w:rPr>
        <w:t xml:space="preserve">.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ω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̂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den>
        </m:f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</m:dPr>
          <m:e>
            <m:sSubSup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ω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̂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W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sSubSup>
              <m:e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ω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̂</m:t>
                    </m:r>
                  </m:lim>
                </m:limUpp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W</m:t>
                </m:r>
              </m:sup>
            </m:sSubSup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ω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ω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ω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sub>
        </m:sSub>
      </m:oMath>
    </w:p>
    <w:p>
      <w:pPr>
        <w:pStyle w:val="Body"/>
        <w:numPr>
          <w:ilvl w:val="2"/>
          <w:numId w:val="8"/>
        </w:numPr>
        <w:bidi w:val="0"/>
      </w:pPr>
      <w:r>
        <w:rPr>
          <w:rtl w:val="0"/>
        </w:rPr>
        <w:t>Условие замороженности спина</w:t>
      </w:r>
      <w:r>
        <w:rPr>
          <w:rtl w:val="0"/>
        </w:rPr>
        <w:t xml:space="preserve">: </w:t>
      </w:r>
      <w:r>
        <w:rPr>
          <w:rtl w:val="0"/>
        </w:rPr>
        <w:t>как сделать и зачем</w:t>
      </w:r>
    </w:p>
    <w:p>
      <w:pPr>
        <w:pStyle w:val="Body"/>
        <w:numPr>
          <w:ilvl w:val="1"/>
          <w:numId w:val="6"/>
        </w:numPr>
        <w:bidi w:val="0"/>
        <w:rPr>
          <w:color w:val="000000"/>
          <w:sz w:val="22"/>
        </w:rPr>
      </w:pPr>
      <w:r>
        <w:rPr>
          <w:rtl w:val="0"/>
        </w:rPr>
        <w:t>Метод оценки частоты колебаний спин</w:t>
      </w:r>
      <w:r>
        <w:rPr>
          <w:rtl w:val="0"/>
        </w:rPr>
        <w:t>-</w:t>
      </w:r>
      <w:r>
        <w:rPr>
          <w:rtl w:val="0"/>
        </w:rPr>
        <w:t xml:space="preserve">вектора </w:t>
      </w:r>
      <w:r>
        <w:rPr>
          <w:rtl w:val="0"/>
        </w:rPr>
        <w:t>(</w:t>
      </w:r>
      <w:r>
        <w:rPr>
          <w:rtl w:val="0"/>
        </w:rPr>
        <w:t>фитирование поляризационных данных</w:t>
      </w:r>
      <w:r>
        <w:rPr>
          <w:rtl w:val="0"/>
        </w:rPr>
        <w:t xml:space="preserve">); </w:t>
      </w:r>
      <w:r>
        <w:rPr>
          <w:rtl w:val="0"/>
        </w:rPr>
        <w:t xml:space="preserve">требуемые статистические свойства наблюдаемой </w:t>
      </w:r>
      <w:r>
        <w:rPr>
          <w:rtl w:val="0"/>
        </w:rPr>
        <w:t>(</w:t>
      </w:r>
      <w:r>
        <w:rPr>
          <w:rtl w:val="0"/>
        </w:rPr>
        <w:t>вертикальная компонента спин</w:t>
      </w:r>
      <w:r>
        <w:rPr>
          <w:rtl w:val="0"/>
        </w:rPr>
        <w:t>-</w:t>
      </w:r>
      <w:r>
        <w:rPr>
          <w:rtl w:val="0"/>
        </w:rPr>
        <w:t xml:space="preserve">вектора </w:t>
      </w:r>
      <w:r>
        <w:rPr>
          <w:rtl w:val="0"/>
        </w:rPr>
        <w:t>(</w:t>
      </w:r>
      <w:r>
        <w:rPr>
          <w:rtl w:val="0"/>
        </w:rPr>
        <w:t>поляризации</w:t>
      </w:r>
      <w:r>
        <w:rPr>
          <w:rtl w:val="0"/>
        </w:rPr>
        <w:t>)).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</m:ctrlPr>
            <m:degHide m:val="on"/>
          </m:radPr>
          <m:deg/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(</m:t>
            </m:r>
            <m:sSub>
              <m:e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n</m:t>
                    </m:r>
                  </m:e>
                </m:ba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</m:sub>
            </m:sSub>
            <m:sSub>
              <m:e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n</m:t>
                    </m:r>
                  </m:e>
                </m:ba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z</m:t>
                </m:r>
              </m:sub>
            </m:sSub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+</m:t>
            </m:r>
            <m:sSubSup>
              <m:e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n</m:t>
                    </m:r>
                  </m:e>
                </m:ba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</m:t>
                </m:r>
              </m:sup>
            </m:sSubSup>
          </m:e>
        </m:rad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sin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ω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δ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↦</m:t>
        </m:r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ω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̂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t</m:t>
            </m:r>
          </m:sub>
        </m:sSub>
      </m:oMath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Смена полярности магнитного поля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Существующие проблемы</w:t>
      </w:r>
      <w:r>
        <w:rPr>
          <w:rtl w:val="0"/>
        </w:rPr>
        <w:t>.</w:t>
      </w:r>
    </w:p>
    <w:p>
      <w:pPr>
        <w:pStyle w:val="Body"/>
        <w:numPr>
          <w:ilvl w:val="1"/>
          <w:numId w:val="10"/>
        </w:numPr>
        <w:bidi w:val="0"/>
      </w:pPr>
      <w:r>
        <w:rPr>
          <w:rtl w:val="0"/>
        </w:rPr>
        <w:t>Время когерентности</w:t>
      </w:r>
      <w:r>
        <w:rPr>
          <w:rtl w:val="0"/>
        </w:rPr>
        <w:t xml:space="preserve">: </w:t>
      </w:r>
      <w:r>
        <w:rPr>
          <w:rtl w:val="0"/>
        </w:rPr>
        <w:t>проблема связана с зависимостью частоты прецессии спина от энергии частицы</w:t>
      </w:r>
    </w:p>
    <w:p>
      <w:pPr>
        <w:pStyle w:val="Body"/>
        <w:numPr>
          <w:ilvl w:val="1"/>
          <w:numId w:val="10"/>
        </w:numPr>
        <w:bidi w:val="0"/>
      </w:pPr>
      <w:r>
        <w:rPr>
          <w:rtl w:val="0"/>
        </w:rPr>
        <w:t>Вариация точки инжекции</w:t>
      </w:r>
      <w:r>
        <w:rPr>
          <w:rtl w:val="0"/>
        </w:rPr>
        <w:t xml:space="preserve">: </w:t>
      </w:r>
      <w:r>
        <w:rPr>
          <w:rtl w:val="0"/>
        </w:rPr>
        <w:t>изменяется длина орбиты частицы</w:t>
      </w:r>
      <w:r>
        <w:rPr>
          <w:rtl w:val="0"/>
        </w:rPr>
        <w:t xml:space="preserve">, </w:t>
      </w:r>
      <w:r>
        <w:rPr>
          <w:rtl w:val="0"/>
        </w:rPr>
        <w:t>и соответственно её равновесная энергия</w:t>
      </w:r>
    </w:p>
    <w:p>
      <w:pPr>
        <w:pStyle w:val="Body"/>
        <w:numPr>
          <w:ilvl w:val="1"/>
          <w:numId w:val="10"/>
        </w:numPr>
        <w:bidi w:val="0"/>
      </w:pPr>
      <w:r>
        <w:rPr>
          <w:rtl w:val="0"/>
        </w:rPr>
        <w:t>Проблема геометрической фазы</w:t>
      </w:r>
      <w:r>
        <w:rPr>
          <w:rtl w:val="0"/>
        </w:rPr>
        <w:t xml:space="preserve">: </w:t>
      </w:r>
      <w:r>
        <w:rPr>
          <w:rtl w:val="0"/>
        </w:rPr>
        <w:t>в частотной области</w:t>
      </w:r>
      <w:r>
        <w:rPr>
          <w:rtl w:val="0"/>
        </w:rPr>
        <w:t xml:space="preserve">, </w:t>
      </w:r>
      <w:r>
        <w:rPr>
          <w:rtl w:val="0"/>
        </w:rPr>
        <w:t>формулируется как вариация направления оси прецессии спина от оборота к обороту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Решения проблем</w:t>
      </w:r>
      <w:r>
        <w:rPr>
          <w:rtl w:val="0"/>
        </w:rPr>
        <w:t>.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Секступольные поля решают обе проблемы</w:t>
      </w:r>
      <w:r>
        <w:rPr>
          <w:rtl w:val="0"/>
        </w:rPr>
        <w:t xml:space="preserve">: </w:t>
      </w:r>
      <w:r>
        <w:rPr>
          <w:rtl w:val="0"/>
        </w:rPr>
        <w:t>время когерентности и вариацию точки инжекции</w:t>
      </w:r>
      <w:r>
        <w:rPr>
          <w:rtl w:val="0"/>
        </w:rPr>
        <w:t xml:space="preserve">, </w:t>
      </w:r>
      <w:r>
        <w:rPr>
          <w:rtl w:val="0"/>
        </w:rPr>
        <w:t xml:space="preserve">путём выравнивания частоты прецессии </w:t>
      </w:r>
      <w:r>
        <w:rPr>
          <w:rtl w:val="0"/>
        </w:rPr>
        <w:t>(</w:t>
      </w:r>
      <w:r>
        <w:rPr>
          <w:rtl w:val="0"/>
        </w:rPr>
        <w:t>модуля и направления</w:t>
      </w:r>
      <w:r>
        <w:rPr>
          <w:rtl w:val="0"/>
        </w:rPr>
        <w:t xml:space="preserve">) </w:t>
      </w:r>
      <w:r>
        <w:rPr>
          <w:rtl w:val="0"/>
        </w:rPr>
        <w:t>в широкой области вокруг референсной орбиты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 xml:space="preserve">Проблема геометрической фазы в частотной области </w:t>
      </w:r>
      <w:r>
        <w:rPr>
          <w:rtl w:val="0"/>
        </w:rPr>
        <w:t>(</w:t>
      </w:r>
      <w:r>
        <w:rPr>
          <w:rtl w:val="0"/>
        </w:rPr>
        <w:t>в отличии от фазовой</w:t>
      </w:r>
      <w:r>
        <w:rPr>
          <w:rtl w:val="0"/>
        </w:rPr>
        <w:t xml:space="preserve">) </w:t>
      </w:r>
      <w:r>
        <w:rPr>
          <w:rtl w:val="0"/>
        </w:rPr>
        <w:t xml:space="preserve">минимизируется путём применения </w:t>
      </w:r>
      <w:r>
        <w:rPr>
          <w:rtl w:val="0"/>
          <w:lang w:val="en-US"/>
        </w:rPr>
        <w:t>Spin Wheel</w:t>
      </w:r>
      <w:r>
        <w:rPr>
          <w:rtl w:val="0"/>
          <w:lang w:val="en-US"/>
        </w:rPr>
        <w:t>’</w:t>
      </w:r>
      <w:r>
        <w:rPr>
          <w:rtl w:val="0"/>
        </w:rPr>
        <w:t xml:space="preserve">а </w:t>
      </w:r>
      <w:r>
        <w:rPr>
          <w:rtl w:val="0"/>
        </w:rPr>
        <w:t>(</w:t>
      </w:r>
      <w:r>
        <w:rPr>
          <w:rtl w:val="0"/>
          <w:lang w:val="en-US"/>
        </w:rPr>
        <w:t xml:space="preserve">wheel </w:t>
      </w:r>
      <w:r>
        <w:rPr>
          <w:rtl w:val="0"/>
        </w:rPr>
        <w:t>неприменим в методах фазовой области</w:t>
      </w:r>
      <w:r>
        <w:rPr>
          <w:rtl w:val="0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Dash"/>
  </w:abstractNum>
  <w:abstractNum w:abstractNumId="7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8">
    <w:multiLevelType w:val="hybridMultilevel"/>
    <w:numStyleLink w:val="Harvard"/>
  </w:abstractNum>
  <w:abstractNum w:abstractNumId="9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Lettered">
    <w:name w:val="Lettered"/>
    <w:pPr>
      <w:numPr>
        <w:numId w:val="5"/>
      </w:numPr>
    </w:pPr>
  </w:style>
  <w:style w:type="numbering" w:styleId="Dash">
    <w:name w:val="Dash"/>
    <w:pPr>
      <w:numPr>
        <w:numId w:val="7"/>
      </w:numPr>
    </w:pPr>
  </w:style>
  <w:style w:type="numbering" w:styleId="Harvard">
    <w:name w:val="Harvard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