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media/image1.jpeg" ContentType="image/jpeg"/>
  <Override PartName="/word/media/image2.jpeg" ContentType="image/jpeg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ru-RU"/>
        </w:rPr>
        <w:t xml:space="preserve">Характеристика журналов по </w:t>
      </w:r>
      <w:r>
        <w:rPr>
          <w:rtl w:val="0"/>
          <w:lang w:val="en-US"/>
        </w:rPr>
        <w:t xml:space="preserve">SJR, JCR, </w:t>
      </w:r>
      <w:r>
        <w:rPr>
          <w:rtl w:val="0"/>
          <w:lang w:val="ru-RU"/>
        </w:rPr>
        <w:t>РИНЦ</w:t>
      </w:r>
      <w:r>
        <w:rPr>
          <w:rtl w:val="0"/>
          <w:lang w:val="ru-RU"/>
        </w:rPr>
        <w:t>.</w:t>
      </w:r>
    </w:p>
    <w:p>
      <w:pPr>
        <w:pStyle w:val="Body"/>
        <w:jc w:val="center"/>
      </w:pPr>
    </w:p>
    <w:p>
      <w:pPr>
        <w:pStyle w:val="Body"/>
        <w:jc w:val="left"/>
      </w:pPr>
      <w:r>
        <w:rPr>
          <w:rtl w:val="0"/>
          <w:lang w:val="en-US"/>
        </w:rPr>
        <w:t>SJR.</w:t>
      </w:r>
    </w:p>
    <w:p>
      <w:pPr>
        <w:pStyle w:val="Body"/>
        <w:jc w:val="left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6"/>
        <w:gridCol w:w="1605"/>
        <w:gridCol w:w="1606"/>
        <w:gridCol w:w="1605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9632"/>
            <w:gridSpan w:val="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 w:hint="default"/>
                <w:rtl w:val="0"/>
              </w:rPr>
              <w:t xml:space="preserve">Динамика индекса </w:t>
            </w:r>
            <w:r>
              <w:rPr>
                <w:rFonts w:ascii="Helvetica Neue" w:hAnsi="Helvetica Neue"/>
                <w:rtl w:val="0"/>
              </w:rPr>
              <w:t xml:space="preserve">SJR </w:t>
            </w:r>
            <w:r>
              <w:rPr>
                <w:rFonts w:ascii="Helvetica Neue" w:hAnsi="Helvetica Neue" w:hint="default"/>
                <w:rtl w:val="0"/>
              </w:rPr>
              <w:t xml:space="preserve">за </w:t>
            </w:r>
            <w:r>
              <w:rPr>
                <w:rFonts w:ascii="Helvetica Neue" w:hAnsi="Helvetica Neue"/>
                <w:rtl w:val="0"/>
              </w:rPr>
              <w:t xml:space="preserve">5 </w:t>
            </w:r>
            <w:r>
              <w:rPr>
                <w:rFonts w:ascii="Helvetica Neue" w:hAnsi="Helvetica Neue" w:hint="default"/>
                <w:rtl w:val="0"/>
              </w:rPr>
              <w:t>лет</w:t>
            </w:r>
          </w:p>
        </w:tc>
      </w:tr>
      <w:tr>
        <w:tblPrEx>
          <w:shd w:val="clear" w:color="auto" w:fill="auto"/>
        </w:tblPrEx>
        <w:trPr>
          <w:trHeight w:val="722" w:hRule="atLeast"/>
        </w:trPr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Год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JETP letters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Physical review letters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European journal of physics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American journal of physics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Acta physica polonica, series B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1.022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6.243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0.436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0.719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0.691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0.793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5.674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0.504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0.615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0.552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0.761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5.027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0.438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0.66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0.392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0.599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3.823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0.472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0.644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0.413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0.648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3.56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0.364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0.548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0.445</w:t>
            </w:r>
          </w:p>
        </w:tc>
      </w:tr>
    </w:tbl>
    <w:p>
      <w:pPr>
        <w:pStyle w:val="Body"/>
        <w:jc w:val="left"/>
      </w:pPr>
    </w:p>
    <w:p>
      <w:pPr>
        <w:pStyle w:val="Body"/>
        <w:jc w:val="left"/>
      </w:pPr>
      <w:r>
        <w:drawing>
          <wp:anchor distT="0" distB="0" distL="152400" distR="152400" simplePos="0" relativeHeight="251661312" behindDoc="0" locked="0" layoutInCell="1" allowOverlap="1">
            <wp:simplePos x="0" y="0"/>
            <wp:positionH relativeFrom="margin">
              <wp:posOffset>987959</wp:posOffset>
            </wp:positionH>
            <wp:positionV relativeFrom="line">
              <wp:posOffset>623620</wp:posOffset>
            </wp:positionV>
            <wp:extent cx="5213033" cy="3810000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anchor>
        </w:drawing>
      </w:r>
      <w:r>
        <w:drawing>
          <wp:anchor distT="0" distB="0" distL="152400" distR="152400" simplePos="0" relativeHeight="251662336" behindDoc="0" locked="0" layoutInCell="1" allowOverlap="1">
            <wp:simplePos x="0" y="0"/>
            <wp:positionH relativeFrom="margin">
              <wp:posOffset>1062667</wp:posOffset>
            </wp:positionH>
            <wp:positionV relativeFrom="line">
              <wp:posOffset>4589500</wp:posOffset>
            </wp:positionV>
            <wp:extent cx="4993005" cy="2441933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5"/>
              </a:graphicData>
            </a:graphic>
          </wp:anchor>
        </w:drawing>
      </w:r>
    </w:p>
    <w:p>
      <w:pPr>
        <w:pStyle w:val="Body"/>
        <w:jc w:val="left"/>
      </w:pPr>
      <w:r>
        <w:rPr>
          <w:rtl w:val="0"/>
          <w:lang w:val="ru-RU"/>
        </w:rPr>
        <w:t>Не наблюдается значительного роста престижа физических журналов за последние пять лет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За более продолжительный промежуток времени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приложения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индекс </w:t>
      </w:r>
      <w:r>
        <w:rPr>
          <w:rtl w:val="0"/>
          <w:lang w:val="en-US"/>
        </w:rPr>
        <w:t>SJR</w:t>
      </w:r>
      <w:r>
        <w:rPr>
          <w:rtl w:val="0"/>
          <w:lang w:val="ru-RU"/>
        </w:rPr>
        <w:t xml:space="preserve"> физических журналов держится на одном и том же уровне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хотя если рассматривать </w:t>
      </w:r>
      <w:r>
        <w:rPr>
          <w:rtl w:val="0"/>
          <w:lang w:val="en-US"/>
        </w:rPr>
        <w:t>PRL</w:t>
      </w:r>
      <w:r>
        <w:rPr>
          <w:rtl w:val="0"/>
          <w:lang w:val="ru-RU"/>
        </w:rPr>
        <w:t xml:space="preserve"> как наиболее глобальный журнал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интерес к физике значительно спал за последни</w:t>
      </w: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2396400</wp:posOffset>
            </wp:positionV>
            <wp:extent cx="5234781" cy="3463009"/>
            <wp:effectExtent l="0" t="0" r="0" b="0"/>
            <wp:wrapTopAndBottom distT="0" dist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ge1image1778752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781" cy="34630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ru-RU"/>
        </w:rPr>
        <w:t xml:space="preserve">е 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SJR</w:t>
      </w:r>
      <w:r>
        <w:rPr>
          <w:rtl w:val="0"/>
          <w:lang w:val="ru-RU"/>
        </w:rPr>
        <w:t xml:space="preserve"> более локальных физических журналов держится на среднем уровне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сравнения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за промежуток времени </w:t>
      </w:r>
      <w:r>
        <w:rPr>
          <w:rtl w:val="0"/>
          <w:lang w:val="ru-RU"/>
        </w:rPr>
        <w:t>1999</w:t>
      </w:r>
      <w:r>
        <w:rPr>
          <w:rtl w:val="0"/>
          <w:lang w:val="ru-RU"/>
        </w:rPr>
        <w:t>—</w:t>
      </w:r>
      <w:r>
        <w:rPr>
          <w:rtl w:val="0"/>
          <w:lang w:val="ru-RU"/>
        </w:rPr>
        <w:t xml:space="preserve">2016, </w:t>
      </w:r>
      <w:r>
        <w:rPr>
          <w:rtl w:val="0"/>
          <w:lang w:val="en-US"/>
        </w:rPr>
        <w:t xml:space="preserve">SJR </w:t>
      </w:r>
      <w:r>
        <w:rPr>
          <w:rtl w:val="0"/>
          <w:lang w:val="ru-RU"/>
        </w:rPr>
        <w:t xml:space="preserve">журнала </w:t>
      </w:r>
      <w:r>
        <w:rPr>
          <w:rtl w:val="0"/>
          <w:lang w:val="en-US"/>
        </w:rPr>
        <w:t>American Journal of Human Biology (</w:t>
      </w:r>
      <w:r>
        <w:rPr>
          <w:rtl w:val="0"/>
          <w:lang w:val="ru-RU"/>
        </w:rPr>
        <w:t>в приложениях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вырос в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раза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Вероятно это свидетельствует о сдвиге интереса от фундаментальной физики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сторону более насущных областей</w:t>
      </w:r>
      <w:r>
        <w:rPr>
          <w:rtl w:val="0"/>
          <w:lang w:val="ru-RU"/>
        </w:rPr>
        <w:t>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JCR.</w:t>
      </w:r>
    </w:p>
    <w:p>
      <w:pPr>
        <w:pStyle w:val="Body"/>
        <w:jc w:val="left"/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298856</wp:posOffset>
            </wp:positionV>
            <wp:extent cx="6044678" cy="3998788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ge1image1778304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678" cy="39987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hAnsi="Times"/>
          <w:sz w:val="24"/>
          <w:szCs w:val="24"/>
          <w:rtl w:val="0"/>
        </w:rPr>
        <w:t xml:space="preserve">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ru-RU"/>
        </w:rPr>
        <w:t>РИН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1246240</wp:posOffset>
            </wp:positionH>
            <wp:positionV relativeFrom="page">
              <wp:posOffset>7318393</wp:posOffset>
            </wp:positionV>
            <wp:extent cx="4568873" cy="2857382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anchor>
        </w:drawing>
      </w:r>
      <w:r>
        <w:rPr>
          <w:rtl w:val="0"/>
          <w:lang w:val="ru-RU"/>
        </w:rPr>
        <w:t>Ц</w:t>
      </w:r>
      <w:r>
        <w:rPr>
          <w:rtl w:val="0"/>
          <w:lang w:val="ru-RU"/>
        </w:rPr>
        <w:t>.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7"/>
        <w:gridCol w:w="1928"/>
        <w:gridCol w:w="1927"/>
        <w:gridCol w:w="1928"/>
        <w:gridCol w:w="1928"/>
      </w:tblGrid>
      <w:tr>
        <w:tblPrEx>
          <w:shd w:val="clear" w:color="auto" w:fill="bdc0bf"/>
        </w:tblPrEx>
        <w:trPr>
          <w:trHeight w:val="1202" w:hRule="atLeast"/>
          <w:tblHeader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 w:hint="default"/>
                <w:rtl w:val="0"/>
              </w:rPr>
              <w:t>Письма в ЖЭТФ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 w:hint="default"/>
                <w:rtl w:val="0"/>
              </w:rPr>
              <w:t>Успехи физических наук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 w:hint="default"/>
                <w:rtl w:val="0"/>
              </w:rPr>
              <w:t>Физика твёрдого тела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 w:hint="default"/>
                <w:rtl w:val="0"/>
              </w:rPr>
              <w:t>Вестник КРАУНЦ</w:t>
            </w:r>
            <w:r>
              <w:rPr>
                <w:rFonts w:ascii="Helvetica Neue" w:hAnsi="Helvetica Neue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rtl w:val="0"/>
              </w:rPr>
              <w:t>Физико</w:t>
            </w:r>
            <w:r>
              <w:rPr>
                <w:rFonts w:ascii="Helvetica Neue" w:hAnsi="Helvetica Neue"/>
                <w:rtl w:val="0"/>
              </w:rPr>
              <w:t>-</w:t>
            </w:r>
            <w:r>
              <w:rPr>
                <w:rFonts w:ascii="Helvetica Neue" w:hAnsi="Helvetica Neue" w:hint="default"/>
                <w:rtl w:val="0"/>
              </w:rPr>
              <w:t>Математические науки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 w:hint="default"/>
                <w:rtl w:val="0"/>
              </w:rPr>
              <w:t>Инженерно</w:t>
            </w:r>
            <w:r>
              <w:rPr>
                <w:rFonts w:ascii="Helvetica Neue" w:hAnsi="Helvetica Neue"/>
                <w:rtl w:val="0"/>
              </w:rPr>
              <w:t>-</w:t>
            </w:r>
            <w:r>
              <w:rPr>
                <w:rFonts w:ascii="Helvetica Neue" w:hAnsi="Helvetica Neue" w:hint="default"/>
                <w:rtl w:val="0"/>
              </w:rPr>
              <w:t>физический журнал</w:t>
            </w:r>
          </w:p>
        </w:tc>
      </w:tr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9638"/>
            <w:gridSpan w:val="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56c1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 w:hint="default"/>
                <w:rtl w:val="0"/>
              </w:rPr>
              <w:t>Двухлетний импакт</w:t>
            </w:r>
            <w:r>
              <w:rPr>
                <w:rFonts w:ascii="Helvetica Neue" w:hAnsi="Helvetica Neue"/>
                <w:rtl w:val="0"/>
              </w:rPr>
              <w:t>-</w:t>
            </w:r>
            <w:r>
              <w:rPr>
                <w:rFonts w:ascii="Helvetica Neue" w:hAnsi="Helvetica Neue" w:hint="default"/>
                <w:rtl w:val="0"/>
              </w:rPr>
              <w:t xml:space="preserve">фактор с учётом переводной версии за </w:t>
            </w:r>
            <w:r>
              <w:rPr>
                <w:rFonts w:ascii="Helvetica Neue" w:hAnsi="Helvetica Neue"/>
                <w:rtl w:val="0"/>
              </w:rPr>
              <w:t xml:space="preserve">2016 </w:t>
            </w:r>
            <w:r>
              <w:rPr>
                <w:rFonts w:ascii="Helvetica Neue" w:hAnsi="Helvetica Neue" w:hint="default"/>
                <w:rtl w:val="0"/>
              </w:rPr>
              <w:t>год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1.798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2.927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1.374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1.489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0.920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8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6c1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 xml:space="preserve">Число цитирований статей предыдущих двух лет </w:t>
            </w:r>
            <w:r>
              <w:rPr>
                <w:rFonts w:ascii="Helvetica Neue" w:hAnsi="Helvetica Neue"/>
                <w:b w:val="1"/>
                <w:bCs w:val="1"/>
                <w:rtl w:val="0"/>
              </w:rPr>
              <w:t xml:space="preserve">(2016 </w:t>
            </w: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год</w:t>
            </w:r>
            <w:r>
              <w:rPr>
                <w:rFonts w:ascii="Helvetica Neue" w:hAnsi="Helvetica Neue"/>
                <w:b w:val="1"/>
                <w:bCs w:val="1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1224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598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1246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108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470</w:t>
            </w:r>
          </w:p>
        </w:tc>
      </w:tr>
    </w:tbl>
    <w:p>
      <w:pPr>
        <w:pStyle w:val="Body"/>
        <w:jc w:val="left"/>
      </w:pPr>
      <w:r>
        <w:drawing>
          <wp:anchor distT="0" distB="0" distL="152400" distR="152400" simplePos="0" relativeHeight="251659264" behindDoc="0" locked="0" layoutInCell="1" allowOverlap="1">
            <wp:simplePos x="0" y="0"/>
            <wp:positionH relativeFrom="margin">
              <wp:posOffset>1102217</wp:posOffset>
            </wp:positionH>
            <wp:positionV relativeFrom="line">
              <wp:posOffset>2751798</wp:posOffset>
            </wp:positionV>
            <wp:extent cx="4490467" cy="3283506"/>
            <wp:effectExtent l="0" t="0" r="0" b="0"/>
            <wp:wrapTopAndBottom distT="0" distB="0"/>
            <wp:docPr id="1073741829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anchor>
        </w:drawing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tl w:val="0"/>
        </w:rPr>
      </w:pPr>
      <w:r>
        <w:rPr>
          <w:rFonts w:ascii="Tahoma" w:cs="Tahoma" w:hAnsi="Tahoma" w:eastAsia="Tahoma"/>
          <w:sz w:val="21"/>
          <w:szCs w:val="21"/>
          <w:rtl w:val="0"/>
        </w:rPr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_rels/chart3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4.xlsx"/></Relationships>

</file>

<file path=word/charts/_rels/chart4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3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897618"/>
          <c:y val="0.12368"/>
          <c:w val="0.88193"/>
          <c:h val="0.810337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JETP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chemeClr val="accent1"/>
              </a:solidFill>
              <a:prstDash val="solid"/>
              <a:miter lim="400000"/>
            </a:ln>
            <a:effectLst/>
          </c:spPr>
          <c:marker>
            <c:symbol val="circle"/>
            <c:size val="10"/>
            <c:spPr>
              <a:solidFill>
                <a:srgbClr val="FFFFFF"/>
              </a:solidFill>
              <a:ln w="50800" cap="flat">
                <a:solidFill>
                  <a:schemeClr val="accent1"/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Sheet1!$B$1:$F$1</c:f>
              <c:strCache>
                <c:ptCount val="5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</c:strCache>
            </c:strRef>
          </c:cat>
          <c:val>
            <c:numRef>
              <c:f>Sheet1!$B$2:$F$2</c:f>
              <c:numCache>
                <c:ptCount val="5"/>
                <c:pt idx="0">
                  <c:v>1.022000</c:v>
                </c:pt>
                <c:pt idx="1">
                  <c:v>0.793000</c:v>
                </c:pt>
                <c:pt idx="2">
                  <c:v>0.761000</c:v>
                </c:pt>
                <c:pt idx="3">
                  <c:v>0.599000</c:v>
                </c:pt>
                <c:pt idx="4">
                  <c:v>0.648000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EJP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chemeClr val="accent3"/>
              </a:solidFill>
              <a:prstDash val="solid"/>
              <a:miter lim="400000"/>
            </a:ln>
            <a:effectLst/>
          </c:spPr>
          <c:marker>
            <c:symbol val="circle"/>
            <c:size val="10"/>
            <c:spPr>
              <a:solidFill>
                <a:srgbClr val="FFFFFF"/>
              </a:solidFill>
              <a:ln w="50800" cap="flat">
                <a:solidFill>
                  <a:schemeClr val="accent3"/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Sheet1!$B$1:$F$1</c:f>
              <c:strCache>
                <c:ptCount val="5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</c:strCache>
            </c:strRef>
          </c:cat>
          <c:val>
            <c:numRef>
              <c:f>Sheet1!$B$3:$F$3</c:f>
              <c:numCache>
                <c:ptCount val="5"/>
                <c:pt idx="0">
                  <c:v>0.436000</c:v>
                </c:pt>
                <c:pt idx="1">
                  <c:v>0.504000</c:v>
                </c:pt>
                <c:pt idx="2">
                  <c:v>0.438000</c:v>
                </c:pt>
                <c:pt idx="3">
                  <c:v>0.472000</c:v>
                </c:pt>
                <c:pt idx="4">
                  <c:v>0.364000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AJP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chemeClr val="accent4">
                  <a:hueOff val="-461056"/>
                  <a:satOff val="4338"/>
                  <a:lumOff val="-10225"/>
                </a:schemeClr>
              </a:solidFill>
              <a:prstDash val="solid"/>
              <a:miter lim="400000"/>
            </a:ln>
            <a:effectLst/>
          </c:spPr>
          <c:marker>
            <c:symbol val="circle"/>
            <c:size val="10"/>
            <c:spPr>
              <a:solidFill>
                <a:srgbClr val="FFFFFF"/>
              </a:solidFill>
              <a:ln w="50800" cap="flat">
                <a:solidFill>
                  <a:schemeClr val="accent4">
                    <a:hueOff val="-461056"/>
                    <a:satOff val="4338"/>
                    <a:lumOff val="-10225"/>
                  </a:schemeClr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Sheet1!$B$1:$F$1</c:f>
              <c:strCache>
                <c:ptCount val="5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</c:strCache>
            </c:strRef>
          </c:cat>
          <c:val>
            <c:numRef>
              <c:f>Sheet1!$B$4:$F$4</c:f>
              <c:numCache>
                <c:ptCount val="5"/>
                <c:pt idx="0">
                  <c:v>0.719000</c:v>
                </c:pt>
                <c:pt idx="1">
                  <c:v>0.615000</c:v>
                </c:pt>
                <c:pt idx="2">
                  <c:v>0.660000</c:v>
                </c:pt>
                <c:pt idx="3">
                  <c:v>0.644000</c:v>
                </c:pt>
                <c:pt idx="4">
                  <c:v>0.548000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APP, B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rgbClr val="FF2600"/>
              </a:solidFill>
              <a:prstDash val="solid"/>
              <a:miter lim="400000"/>
            </a:ln>
            <a:effectLst/>
          </c:spPr>
          <c:marker>
            <c:symbol val="circle"/>
            <c:size val="10"/>
            <c:spPr>
              <a:solidFill>
                <a:srgbClr val="FFFFFF"/>
              </a:solidFill>
              <a:ln w="50800" cap="flat">
                <a:solidFill>
                  <a:srgbClr val="FF2600"/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Sheet1!$B$1:$F$1</c:f>
              <c:strCache>
                <c:ptCount val="5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</c:strCache>
            </c:strRef>
          </c:cat>
          <c:val>
            <c:numRef>
              <c:f>Sheet1!$B$5:$F$5</c:f>
              <c:numCache>
                <c:ptCount val="5"/>
                <c:pt idx="0">
                  <c:v>0.691000</c:v>
                </c:pt>
                <c:pt idx="1">
                  <c:v>0.552000</c:v>
                </c:pt>
                <c:pt idx="2">
                  <c:v>0.392000</c:v>
                </c:pt>
                <c:pt idx="3">
                  <c:v>0.413000</c:v>
                </c:pt>
                <c:pt idx="4">
                  <c:v>0.445000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General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2"/>
        <c:crosses val="autoZero"/>
        <c:crossBetween val="midCat"/>
        <c:majorUnit val="0.275"/>
        <c:minorUnit val="0.137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69042"/>
          <c:y val="0"/>
          <c:w val="0.877033"/>
          <c:h val="0.0640667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 Neu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795751"/>
          <c:y val="0.19297"/>
          <c:w val="0.890869"/>
          <c:h val="0.711083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PRL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chemeClr val="accent1"/>
              </a:solidFill>
              <a:prstDash val="solid"/>
              <a:miter lim="400000"/>
            </a:ln>
            <a:effectLst/>
          </c:spPr>
          <c:marker>
            <c:symbol val="circle"/>
            <c:size val="10"/>
            <c:spPr>
              <a:solidFill>
                <a:srgbClr val="FFFFFF"/>
              </a:solidFill>
              <a:ln w="50800" cap="flat">
                <a:solidFill>
                  <a:schemeClr val="accent1"/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Sheet1!$B$1:$F$1</c:f>
              <c:strCache>
                <c:ptCount val="5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</c:strCache>
            </c:strRef>
          </c:cat>
          <c:val>
            <c:numRef>
              <c:f>Sheet1!$B$2:$F$2</c:f>
              <c:numCache>
                <c:ptCount val="5"/>
                <c:pt idx="0">
                  <c:v>6.243000</c:v>
                </c:pt>
                <c:pt idx="1">
                  <c:v>5.674000</c:v>
                </c:pt>
                <c:pt idx="2">
                  <c:v>5.027000</c:v>
                </c:pt>
                <c:pt idx="3">
                  <c:v>3.823000</c:v>
                </c:pt>
                <c:pt idx="4">
                  <c:v>3.560000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General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2"/>
        <c:crosses val="autoZero"/>
        <c:crossBetween val="midCat"/>
        <c:majorUnit val="1.75"/>
        <c:minorUnit val="0.87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562587"/>
          <c:y val="0"/>
          <c:w val="0.889075"/>
          <c:h val="0.0859534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 Neu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946897"/>
          <c:y val="0.164914"/>
          <c:w val="0.90031"/>
          <c:h val="0.75127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Число цитирований</c:v>
                </c:pt>
              </c:strCache>
            </c:strRef>
          </c:tx>
          <c:spPr>
            <a:solidFill>
              <a:schemeClr val="accent1"/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latin typeface="Helvetica Neue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Sheet1!$B$1:$F$1</c:f>
              <c:strCache>
                <c:ptCount val="5"/>
                <c:pt idx="0">
                  <c:v>Письма в ЖЭТФ</c:v>
                </c:pt>
                <c:pt idx="1">
                  <c:v>УФН</c:v>
                </c:pt>
                <c:pt idx="2">
                  <c:v>ФТТ</c:v>
                </c:pt>
                <c:pt idx="3">
                  <c:v>Вестник КРАУНЦ</c:v>
                </c:pt>
                <c:pt idx="4">
                  <c:v>ИФЖ</c:v>
                </c:pt>
              </c:strCache>
            </c:strRef>
          </c:cat>
          <c:val>
            <c:numRef>
              <c:f>Sheet1!$B$2:$F$2</c:f>
              <c:numCache>
                <c:ptCount val="5"/>
                <c:pt idx="0">
                  <c:v>1224.000000</c:v>
                </c:pt>
                <c:pt idx="1">
                  <c:v>598.000000</c:v>
                </c:pt>
                <c:pt idx="2">
                  <c:v>1246.000000</c:v>
                </c:pt>
                <c:pt idx="3">
                  <c:v>108.000000</c:v>
                </c:pt>
                <c:pt idx="4">
                  <c:v>470.000000</c:v>
                </c:pt>
              </c:numCache>
            </c:numRef>
          </c:val>
        </c:ser>
        <c:gapWidth val="40"/>
        <c:overlap val="-1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General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2"/>
        <c:crosses val="autoZero"/>
        <c:crossBetween val="between"/>
        <c:majorUnit val="350"/>
        <c:minorUnit val="17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63024"/>
          <c:y val="0"/>
          <c:w val="0.887662"/>
          <c:h val="0.0770911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 Neu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884806"/>
          <c:y val="0.143512"/>
          <c:w val="0.906519"/>
          <c:h val="0.7819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Импакт-фактор</c:v>
                </c:pt>
              </c:strCache>
            </c:strRef>
          </c:tx>
          <c:spPr>
            <a:solidFill>
              <a:schemeClr val="accent1"/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latin typeface="Helvetica Neue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Sheet1!$B$1:$F$1</c:f>
              <c:strCache>
                <c:ptCount val="5"/>
                <c:pt idx="0">
                  <c:v>Письма в ЖЭТФ</c:v>
                </c:pt>
                <c:pt idx="1">
                  <c:v>УФН</c:v>
                </c:pt>
                <c:pt idx="2">
                  <c:v>ФТТ</c:v>
                </c:pt>
                <c:pt idx="3">
                  <c:v>Вестник КРАУНЦ</c:v>
                </c:pt>
                <c:pt idx="4">
                  <c:v>ИФЖ</c:v>
                </c:pt>
              </c:strCache>
            </c:strRef>
          </c:cat>
          <c:val>
            <c:numRef>
              <c:f>Sheet1!$B$2:$F$2</c:f>
              <c:numCache>
                <c:ptCount val="5"/>
                <c:pt idx="0">
                  <c:v>1.798000</c:v>
                </c:pt>
                <c:pt idx="1">
                  <c:v>2.927000</c:v>
                </c:pt>
                <c:pt idx="2">
                  <c:v>1.374000</c:v>
                </c:pt>
                <c:pt idx="3">
                  <c:v>1.489000</c:v>
                </c:pt>
                <c:pt idx="4">
                  <c:v>0.920000</c:v>
                </c:pt>
              </c:numCache>
            </c:numRef>
          </c:val>
        </c:ser>
        <c:gapWidth val="40"/>
        <c:overlap val="-1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General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2"/>
        <c:crosses val="autoZero"/>
        <c:crossBetween val="between"/>
        <c:majorUnit val="0.75"/>
        <c:minorUnit val="0.37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565569"/>
          <c:y val="0"/>
          <c:w val="0.893788"/>
          <c:h val="0.0703308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 Neu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