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con un datamart analítico en SQL Server)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necesario en el análisis a escala. El proyecto no cuenta, en esta etapa, con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análisis,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Gerencia general de Tunki Lodge</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Decidir ajustes de tarifas, promociones o inversión en marketing frente a la caída sostenida de concurrencia</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Reporte mensual de concurrencia y no-llegada disponible, con tendencia visible mes contra mes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Área comercial / Marketing</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Identificar qué categoría de habitación y qué día de la semana concentran más caída de concurrencia, para dirigir campañas y promociones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Segmentación por categoría, día de la semana y anticipación de reserva disponible en el datamart</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E-05</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de uso interno.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volumen actual del sistema Estadía todavía es bajo, un rango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Se optó por SQL Server porque ofrece un soporte más maduro de funciones OLAP (funciones de ventana, agregaciones jerárquicas) y porque el equipo ya lo usa como estándar en su infraestructura de datos,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permite demostrar el modelo de procesamiento distribuido de Zaharia et al. (2010) sin requerir un clúster pagado, su API de DataFrames se mantiene legible en Python (el mismo lenguaje usado en el generador del dataset sintético), y es el estándar de facto para procesamiento distribuido en memoria sobre datos estructurados.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Soporte OLAP más maduro que MySQL (funciones de ventana, agregaciones jerárquicas); ya es el estándar de infraestructura de datos del equipo</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ser el estándar de infraestructura de datos del equipo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del equipo, madurez del ecosistema</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el estándar de facto para procesamiento distribuido en memoria</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actual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de desarrollo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de desarrollo del proyecto.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