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necesario en el análisis a escala. El proyecto no cuenta, en esta etapa, con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análisis,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de uso interno.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Se optó por SQL Server porque ofrece un soporte más maduro de funciones OLAP (funciones de ventana, agregaciones jerárquicas) y porque el equipo ya lo usa como estándar en su infraestructura de datos,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permite demostrar el modelo de procesamiento distribuido de Zaharia et al. (2010) sin requerir un clúster pagado, su API de DataFrames se mantiene legible en Python (el mismo lenguaje usado en el generador del dataset sintético), y es el estándar de facto para procesamiento distribuido en memoria sobre datos estructurados.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Soporte OLAP más maduro que MySQL (funciones de ventana, agregaciones jerárquicas); ya es el estándar de infraestructura de datos del equipo</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ser el estándar de infraestructura de datos del equipo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del equipo, madurez del ecosistema</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el estándar de facto para procesamiento distribuido en memoria</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actual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de desarrollo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de desarrollo del proyecto.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