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DB8" w:rsidRDefault="00B526FF">
      <w:pPr>
        <w:pStyle w:val="Ttulo"/>
      </w:pPr>
      <w:r>
        <w:t>Fichas metodologicas para indicadores fiscales</w:t>
      </w:r>
    </w:p>
    <w:p w:rsidR="00247DB8" w:rsidRDefault="00B526FF">
      <w:pPr>
        <w:pStyle w:val="Subttulo"/>
      </w:pPr>
      <w:r>
        <w:t>Banco mundial</w:t>
      </w:r>
    </w:p>
    <w:p w:rsidR="00247DB8" w:rsidRDefault="00B526FF">
      <w:pPr>
        <w:pStyle w:val="Author"/>
      </w:pPr>
      <w:r>
        <w:t>Alex Bajaña</w:t>
      </w:r>
    </w:p>
    <w:p w:rsidR="00247DB8" w:rsidRDefault="00B526FF">
      <w:pPr>
        <w:pStyle w:val="Fecha"/>
      </w:pPr>
      <w:r>
        <w:t>2022-10-22</w:t>
      </w:r>
    </w:p>
    <w:p w:rsidR="00247DB8" w:rsidRDefault="00B526FF">
      <w:pPr>
        <w:pStyle w:val="Ttulo2"/>
      </w:pPr>
      <w:bookmarkStart w:id="0" w:name="datos-del-indicador"/>
      <w:r>
        <w:t>Datos del indicador</w:t>
      </w:r>
    </w:p>
    <w:p w:rsidR="00247DB8" w:rsidRDefault="00B526FF">
      <w:pPr>
        <w:pStyle w:val="Ttulo3"/>
      </w:pPr>
      <w:bookmarkStart w:id="1" w:name="nombre-del-indicador"/>
      <w:r>
        <w:t>Nombre del Indicador</w:t>
      </w:r>
    </w:p>
    <w:p w:rsidR="00247DB8" w:rsidRDefault="00B526FF">
      <w:pPr>
        <w:pStyle w:val="FirstParagraph"/>
      </w:pPr>
      <w:r>
        <w:t>Tratamiento continuo de uso de paraísos fiscales</w:t>
      </w:r>
    </w:p>
    <w:p w:rsidR="00247DB8" w:rsidRDefault="00B526FF">
      <w:r>
        <w:pict>
          <v:rect id="_x0000_i1025" style="width:0;height:1.5pt" o:hralign="center" o:hrstd="t" o:hr="t"/>
        </w:pict>
      </w:r>
    </w:p>
    <w:p w:rsidR="00247DB8" w:rsidRDefault="00B526FF">
      <w:pPr>
        <w:pStyle w:val="Ttulo3"/>
      </w:pPr>
      <w:bookmarkStart w:id="2" w:name="definición"/>
      <w:bookmarkEnd w:id="1"/>
      <w:r>
        <w:t>Definición</w:t>
      </w:r>
    </w:p>
    <w:p w:rsidR="00247DB8" w:rsidRDefault="00B526FF">
      <w:pPr>
        <w:pStyle w:val="FirstParagraph"/>
      </w:pPr>
      <w:r>
        <w:t>Dado el porcentaje de participación efectiva con residencia en paraisos fiscales que declaran las sociedades se calcula como el promedio de esta participación de los valores anuales en el periodo 20012-2014 para cada empresa.</w:t>
      </w:r>
    </w:p>
    <w:p w:rsidR="00247DB8" w:rsidRDefault="00B526FF">
      <w:r>
        <w:pict>
          <v:rect id="_x0000_i1026" style="width:0;height:1.5pt" o:hralign="center" o:hrstd="t" o:hr="t"/>
        </w:pict>
      </w:r>
    </w:p>
    <w:p w:rsidR="00247DB8" w:rsidRDefault="00B526FF">
      <w:pPr>
        <w:pStyle w:val="Ttulo3"/>
      </w:pPr>
      <w:bookmarkStart w:id="3" w:name="fórmula-del-cálculo"/>
      <w:bookmarkEnd w:id="2"/>
      <w:r>
        <w:t>Fórmula del cálculo</w:t>
      </w:r>
    </w:p>
    <w:p w:rsidR="00247DB8" w:rsidRDefault="00B526FF">
      <w:pPr>
        <w:pStyle w:val="FirstParagraph"/>
      </w:pPr>
      <m:oMathPara>
        <m:oMathParaPr>
          <m:jc m:val="center"/>
        </m:oMathParaPr>
        <m:oMath>
          <m:r>
            <w:rPr>
              <w:rFonts w:ascii="Cambria Math" w:hAnsi="Cambria Math"/>
            </w:rPr>
            <m:t>PPF</m:t>
          </m:r>
          <m:r>
            <m:rPr>
              <m:sty m:val="p"/>
            </m:rPr>
            <w:rPr>
              <w:rFonts w:ascii="Cambria Math" w:hAnsi="Cambria Math"/>
            </w:rPr>
            <m:t>_</m:t>
          </m:r>
          <m:sSub>
            <m:sSubPr>
              <m:ctrlPr>
                <w:rPr>
                  <w:rFonts w:ascii="Cambria Math" w:hAnsi="Cambria Math"/>
                </w:rPr>
              </m:ctrlPr>
            </m:sSubPr>
            <m:e>
              <m:r>
                <w:rPr>
                  <w:rFonts w:ascii="Cambria Math" w:hAnsi="Cambria Math"/>
                </w:rPr>
                <m:t>1</m:t>
              </m:r>
              <m:r>
                <w:rPr>
                  <w:rFonts w:ascii="Cambria Math" w:hAnsi="Cambria Math"/>
                </w:rPr>
                <m:t>214</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2012</m:t>
              </m:r>
            </m:sub>
            <m:sup>
              <m:r>
                <w:rPr>
                  <w:rFonts w:ascii="Cambria Math" w:hAnsi="Cambria Math"/>
                </w:rPr>
                <m:t>2014</m:t>
              </m:r>
            </m:sup>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ti</m:t>
                      </m:r>
                    </m:sub>
                  </m:sSub>
                </m:num>
                <m:den>
                  <m:r>
                    <w:rPr>
                      <w:rFonts w:ascii="Cambria Math" w:hAnsi="Cambria Math"/>
                    </w:rPr>
                    <m:t>3</m:t>
                  </m:r>
                </m:den>
              </m:f>
            </m:e>
          </m:nary>
        </m:oMath>
      </m:oMathPara>
    </w:p>
    <w:p w:rsidR="00247DB8" w:rsidRDefault="00B526FF">
      <w:pPr>
        <w:pStyle w:val="FirstParagraph"/>
      </w:pPr>
      <w:r>
        <w:t>Donde:</w:t>
      </w:r>
    </w:p>
    <w:p w:rsidR="00247DB8" w:rsidRDefault="00B526FF">
      <w:pPr>
        <w:pStyle w:val="Textoindependiente"/>
      </w:pPr>
      <m:oMath>
        <m:sSub>
          <m:sSubPr>
            <m:ctrlPr>
              <w:rPr>
                <w:rFonts w:ascii="Cambria Math" w:hAnsi="Cambria Math"/>
              </w:rPr>
            </m:ctrlPr>
          </m:sSubPr>
          <m:e>
            <m:r>
              <w:rPr>
                <w:rFonts w:ascii="Cambria Math" w:hAnsi="Cambria Math"/>
              </w:rPr>
              <m:t>p</m:t>
            </m:r>
          </m:e>
          <m:sub>
            <m:r>
              <w:rPr>
                <w:rFonts w:ascii="Cambria Math" w:hAnsi="Cambria Math"/>
              </w:rPr>
              <m:t>ti</m:t>
            </m:r>
          </m:sub>
        </m:sSub>
      </m:oMath>
      <w:r>
        <w:t xml:space="preserve"> : participación efectiva en paraísos fiscales de la empresa </w:t>
      </w:r>
      <m:oMath>
        <m:r>
          <w:rPr>
            <w:rFonts w:ascii="Cambria Math" w:hAnsi="Cambria Math"/>
          </w:rPr>
          <m:t>i</m:t>
        </m:r>
      </m:oMath>
      <w:r>
        <w:t xml:space="preserve"> en el año </w:t>
      </w:r>
      <m:oMath>
        <m:r>
          <w:rPr>
            <w:rFonts w:ascii="Cambria Math" w:hAnsi="Cambria Math"/>
          </w:rPr>
          <m:t>t</m:t>
        </m:r>
      </m:oMath>
    </w:p>
    <w:p w:rsidR="00247DB8" w:rsidRDefault="00B526FF">
      <w:pPr>
        <w:pStyle w:val="Textoindependiente"/>
      </w:pPr>
      <m:oMath>
        <m:r>
          <w:rPr>
            <w:rFonts w:ascii="Cambria Math" w:hAnsi="Cambria Math"/>
          </w:rPr>
          <m:t>i</m:t>
        </m:r>
      </m:oMath>
      <w:r>
        <w:t xml:space="preserve"> : beneficiarios finales en paraísos fiscales</w:t>
      </w:r>
    </w:p>
    <w:p w:rsidR="00247DB8" w:rsidRDefault="00B526FF">
      <w:pPr>
        <w:pStyle w:val="Textoindependiente"/>
      </w:pPr>
      <m:oMath>
        <m:r>
          <w:rPr>
            <w:rFonts w:ascii="Cambria Math" w:hAnsi="Cambria Math"/>
          </w:rPr>
          <m:t>PPF</m:t>
        </m:r>
        <m:r>
          <m:rPr>
            <m:sty m:val="p"/>
          </m:rPr>
          <w:rPr>
            <w:rFonts w:ascii="Cambria Math" w:hAnsi="Cambria Math"/>
          </w:rPr>
          <m:t>_</m:t>
        </m:r>
        <m:sSub>
          <m:sSubPr>
            <m:ctrlPr>
              <w:rPr>
                <w:rFonts w:ascii="Cambria Math" w:hAnsi="Cambria Math"/>
              </w:rPr>
            </m:ctrlPr>
          </m:sSubPr>
          <m:e>
            <m:r>
              <w:rPr>
                <w:rFonts w:ascii="Cambria Math" w:hAnsi="Cambria Math"/>
              </w:rPr>
              <m:t>1214</m:t>
            </m:r>
          </m:e>
          <m:sub>
            <m:r>
              <w:rPr>
                <w:rFonts w:ascii="Cambria Math" w:hAnsi="Cambria Math"/>
              </w:rPr>
              <m:t>i</m:t>
            </m:r>
          </m:sub>
        </m:sSub>
      </m:oMath>
      <w:r>
        <w:t xml:space="preserve"> : promedio de la participación de los beneficiarios finales con residencia en p</w:t>
      </w:r>
      <w:r>
        <w:t xml:space="preserve">araisos de las empresas durante el periodo </w:t>
      </w:r>
      <w:r>
        <w:rPr>
          <w:b/>
          <w:bCs/>
        </w:rPr>
        <w:t>pre-reforma.</w:t>
      </w:r>
    </w:p>
    <w:p w:rsidR="00247DB8" w:rsidRDefault="00B526FF">
      <w:r>
        <w:pict>
          <v:rect id="_x0000_i1027" style="width:0;height:1.5pt" o:hralign="center" o:hrstd="t" o:hr="t"/>
        </w:pict>
      </w:r>
    </w:p>
    <w:p w:rsidR="00247DB8" w:rsidRDefault="00B526FF">
      <w:pPr>
        <w:pStyle w:val="Ttulo3"/>
      </w:pPr>
      <w:bookmarkStart w:id="4" w:name="definición-de-las-variables-involucradas"/>
      <w:bookmarkEnd w:id="3"/>
      <w:r>
        <w:t>Definición de las variables involucradas</w:t>
      </w:r>
    </w:p>
    <w:p w:rsidR="00247DB8" w:rsidRDefault="00B526FF">
      <w:pPr>
        <w:pStyle w:val="FirstParagraph"/>
      </w:pPr>
      <w:r>
        <w:t>Para el cálculo del tratamiento continuo de uso de paraísos fiscales, se tomará en cuenta:</w:t>
      </w:r>
    </w:p>
    <w:p w:rsidR="00247DB8" w:rsidRDefault="00B526FF">
      <w:pPr>
        <w:numPr>
          <w:ilvl w:val="0"/>
          <w:numId w:val="2"/>
        </w:numPr>
      </w:pPr>
      <w:r>
        <w:rPr>
          <w:b/>
          <w:bCs/>
        </w:rPr>
        <w:t>Anexo APS:</w:t>
      </w:r>
    </w:p>
    <w:p w:rsidR="00247DB8" w:rsidRDefault="00B526FF">
      <w:pPr>
        <w:numPr>
          <w:ilvl w:val="1"/>
          <w:numId w:val="3"/>
        </w:numPr>
      </w:pPr>
      <w:r>
        <w:rPr>
          <w:b/>
          <w:bCs/>
        </w:rPr>
        <w:lastRenderedPageBreak/>
        <w:t>Porcentaje efectivo de participacion</w:t>
      </w:r>
      <w:r>
        <w:t xml:space="preserve">: es el porcentaje </w:t>
      </w:r>
      <w:r>
        <w:t>de propiedad en la emmpresa informante que tiene cada beneficiario final declarado o informado en el Anexo APS</w:t>
      </w:r>
    </w:p>
    <w:p w:rsidR="00247DB8" w:rsidRDefault="00B526FF">
      <w:pPr>
        <w:numPr>
          <w:ilvl w:val="1"/>
          <w:numId w:val="3"/>
        </w:numPr>
      </w:pPr>
      <w:r>
        <w:rPr>
          <w:b/>
          <w:bCs/>
        </w:rPr>
        <w:t>Identificador del informante</w:t>
      </w:r>
      <w:r>
        <w:t xml:space="preserve"> Identificador anónimo de la empresa informante</w:t>
      </w:r>
    </w:p>
    <w:p w:rsidR="00247DB8" w:rsidRDefault="00B526FF">
      <w:pPr>
        <w:numPr>
          <w:ilvl w:val="1"/>
          <w:numId w:val="3"/>
        </w:numPr>
      </w:pPr>
      <w:r>
        <w:rPr>
          <w:b/>
          <w:bCs/>
        </w:rPr>
        <w:t>Año fiscal</w:t>
      </w:r>
      <w:r>
        <w:t>: año fiscal declarado en el Anexo APS</w:t>
      </w:r>
    </w:p>
    <w:p w:rsidR="00247DB8" w:rsidRDefault="00B526FF">
      <w:r>
        <w:pict>
          <v:rect id="_x0000_i1028" style="width:0;height:1.5pt" o:hralign="center" o:hrstd="t" o:hr="t"/>
        </w:pict>
      </w:r>
    </w:p>
    <w:p w:rsidR="00247DB8" w:rsidRDefault="00B526FF">
      <w:pPr>
        <w:pStyle w:val="Ttulo3"/>
      </w:pPr>
      <w:bookmarkStart w:id="5" w:name="metodología-de-cálculo"/>
      <w:bookmarkEnd w:id="4"/>
      <w:r>
        <w:t>Metodología de cál</w:t>
      </w:r>
      <w:r>
        <w:t>culo</w:t>
      </w:r>
    </w:p>
    <w:p w:rsidR="00247DB8" w:rsidRDefault="00B526FF">
      <w:pPr>
        <w:numPr>
          <w:ilvl w:val="0"/>
          <w:numId w:val="4"/>
        </w:numPr>
      </w:pPr>
      <w:r>
        <w:t>Se determinan las sociedades que hayan declarado impuesto a la renta en los años del periodo</w:t>
      </w:r>
    </w:p>
    <w:p w:rsidR="00247DB8" w:rsidRDefault="00B526FF">
      <w:pPr>
        <w:numPr>
          <w:ilvl w:val="0"/>
          <w:numId w:val="4"/>
        </w:numPr>
      </w:pPr>
      <w:r>
        <w:t>Se excluyen aquellas empresas que presentan inconsistencias en la declaración.</w:t>
      </w:r>
    </w:p>
    <w:p w:rsidR="00247DB8" w:rsidRDefault="00B526FF">
      <w:pPr>
        <w:pStyle w:val="SourceCode"/>
      </w:pPr>
      <w:r>
        <w:rPr>
          <w:rStyle w:val="CommentTok"/>
        </w:rPr>
        <w:t># Tabla de inconsistencias en el periodo</w:t>
      </w:r>
    </w:p>
    <w:p w:rsidR="00247DB8" w:rsidRDefault="00B526FF">
      <w:pPr>
        <w:numPr>
          <w:ilvl w:val="0"/>
          <w:numId w:val="5"/>
        </w:numPr>
      </w:pPr>
      <w:r>
        <w:t>Se agrupan los datos por: año fiscal, identificación, país de residencia del beneficiario final</w:t>
      </w:r>
    </w:p>
    <w:p w:rsidR="00247DB8" w:rsidRDefault="00B526FF">
      <w:pPr>
        <w:numPr>
          <w:ilvl w:val="0"/>
          <w:numId w:val="5"/>
        </w:numPr>
      </w:pPr>
      <w:r>
        <w:t>Se suman todos los valores de participación efectiva dentro de los grupos mencionados.</w:t>
      </w:r>
    </w:p>
    <w:p w:rsidR="00247DB8" w:rsidRDefault="00B526FF">
      <w:pPr>
        <w:numPr>
          <w:ilvl w:val="0"/>
          <w:numId w:val="5"/>
        </w:numPr>
      </w:pPr>
      <w:r>
        <w:t>Se calcula el indicador de acuerdo a la formula presentada.</w:t>
      </w:r>
    </w:p>
    <w:p w:rsidR="00247DB8" w:rsidRDefault="00B526FF">
      <w:pPr>
        <w:pStyle w:val="Ttulo3"/>
      </w:pPr>
      <w:bookmarkStart w:id="6" w:name="limitaciones-técnicas"/>
      <w:bookmarkEnd w:id="5"/>
      <w:r>
        <w:t xml:space="preserve">Limitaciones </w:t>
      </w:r>
      <w:r>
        <w:t>técnicas</w:t>
      </w:r>
    </w:p>
    <w:p w:rsidR="00247DB8" w:rsidRDefault="00B526FF">
      <w:pPr>
        <w:pStyle w:val="Compact"/>
        <w:numPr>
          <w:ilvl w:val="0"/>
          <w:numId w:val="6"/>
        </w:numPr>
      </w:pPr>
      <w:r>
        <w:t>Se considera a todos los informantes del Anexo APS que hayan declarado formulario al impuesto a la renta.</w:t>
      </w:r>
    </w:p>
    <w:p w:rsidR="00247DB8" w:rsidRDefault="00B526FF">
      <w:pPr>
        <w:pStyle w:val="Compact"/>
        <w:numPr>
          <w:ilvl w:val="0"/>
          <w:numId w:val="6"/>
        </w:numPr>
      </w:pPr>
      <w:r>
        <w:t>Para el análisis no se consideran las correcciones en la presentación de años pasados.</w:t>
      </w:r>
    </w:p>
    <w:p w:rsidR="00247DB8" w:rsidRDefault="00B526FF">
      <w:pPr>
        <w:pStyle w:val="Compact"/>
        <w:numPr>
          <w:ilvl w:val="0"/>
          <w:numId w:val="6"/>
        </w:numPr>
      </w:pPr>
      <w:r>
        <w:t>La tasa de omisión del anexo APS información se presenta a continuación:</w:t>
      </w:r>
    </w:p>
    <w:p w:rsidR="00247DB8" w:rsidRDefault="00B526FF">
      <w:pPr>
        <w:pStyle w:val="SourceCode"/>
      </w:pPr>
      <w:r>
        <w:rPr>
          <w:rStyle w:val="CommentTok"/>
        </w:rPr>
        <w:t># Tabla de omisos</w:t>
      </w:r>
    </w:p>
    <w:p w:rsidR="00247DB8" w:rsidRDefault="00B526FF">
      <w:r>
        <w:pict>
          <v:rect id="_x0000_i1029" style="width:0;height:1.5pt" o:hralign="center" o:hrstd="t" o:hr="t"/>
        </w:pict>
      </w:r>
    </w:p>
    <w:p w:rsidR="00247DB8" w:rsidRDefault="00B526FF">
      <w:pPr>
        <w:pStyle w:val="Ttulo3"/>
      </w:pPr>
      <w:bookmarkStart w:id="7" w:name="unidad-de-medida-del-indicador"/>
      <w:bookmarkEnd w:id="6"/>
      <w:r>
        <w:t>Unidad de medida del indicador</w:t>
      </w:r>
    </w:p>
    <w:p w:rsidR="00247DB8" w:rsidRDefault="00B526FF">
      <w:pPr>
        <w:pStyle w:val="FirstParagraph"/>
      </w:pPr>
      <w:r>
        <w:t>Porcentaje promedio</w:t>
      </w:r>
    </w:p>
    <w:p w:rsidR="00247DB8" w:rsidRPr="00FF1F7D" w:rsidRDefault="00B526FF">
      <w:pPr>
        <w:rPr>
          <w:lang w:val="en-AS"/>
        </w:rPr>
      </w:pPr>
      <w:r>
        <w:pict>
          <v:rect id="_x0000_i1030" style="width:0;height:1.5pt" o:hralign="center" o:hrstd="t" o:hr="t"/>
        </w:pict>
      </w:r>
      <w:bookmarkStart w:id="8" w:name="_GoBack"/>
      <w:bookmarkEnd w:id="8"/>
    </w:p>
    <w:p w:rsidR="00247DB8" w:rsidRDefault="00B526FF">
      <w:pPr>
        <w:pStyle w:val="Ttulo3"/>
      </w:pPr>
      <w:bookmarkStart w:id="9" w:name="interpretación-del-indicador"/>
      <w:bookmarkEnd w:id="7"/>
      <w:r>
        <w:t>Interpretación del indicador</w:t>
      </w:r>
    </w:p>
    <w:p w:rsidR="00247DB8" w:rsidRDefault="00B526FF">
      <w:pPr>
        <w:pStyle w:val="FirstParagraph"/>
      </w:pPr>
      <w:r>
        <w:t>Participación efectiva promedio que tuvieron las empresas en paraísos fiscales du</w:t>
      </w:r>
      <w:r>
        <w:t>rante el periodo 2012-2014</w:t>
      </w:r>
    </w:p>
    <w:p w:rsidR="00247DB8" w:rsidRDefault="00B526FF">
      <w:r>
        <w:pict>
          <v:rect id="_x0000_i1031" style="width:0;height:1.5pt" o:hralign="center" o:hrstd="t" o:hr="t"/>
        </w:pict>
      </w:r>
    </w:p>
    <w:p w:rsidR="00247DB8" w:rsidRDefault="00B526FF">
      <w:pPr>
        <w:pStyle w:val="Ttulo2"/>
      </w:pPr>
      <w:bookmarkStart w:id="10" w:name="metadatos"/>
      <w:bookmarkEnd w:id="0"/>
      <w:bookmarkEnd w:id="9"/>
      <w:r>
        <w:lastRenderedPageBreak/>
        <w:t>Metadatos</w:t>
      </w:r>
    </w:p>
    <w:p w:rsidR="00247DB8" w:rsidRDefault="00B526FF">
      <w:pPr>
        <w:pStyle w:val="Ttulo3"/>
      </w:pPr>
      <w:bookmarkStart w:id="11" w:name="fuente-de-información"/>
      <w:r>
        <w:t>Fuente de información</w:t>
      </w:r>
    </w:p>
    <w:p w:rsidR="00247DB8" w:rsidRDefault="00B526FF">
      <w:pPr>
        <w:pStyle w:val="FirstParagraph"/>
      </w:pPr>
      <w:r>
        <w:t>Anexo APS</w:t>
      </w:r>
    </w:p>
    <w:p w:rsidR="00247DB8" w:rsidRDefault="00B526FF">
      <w:pPr>
        <w:pStyle w:val="Ttulo3"/>
      </w:pPr>
      <w:bookmarkStart w:id="12" w:name="X208e326048d73b182d13a01148ac6211aa05840"/>
      <w:bookmarkEnd w:id="11"/>
      <w:r>
        <w:t>Periodicidad del indicador y de las variables</w:t>
      </w:r>
    </w:p>
    <w:p w:rsidR="00247DB8" w:rsidRDefault="00B526FF">
      <w:pPr>
        <w:pStyle w:val="FirstParagraph"/>
      </w:pPr>
      <w:r>
        <w:t>Anual</w:t>
      </w:r>
    </w:p>
    <w:p w:rsidR="00247DB8" w:rsidRDefault="00B526FF">
      <w:pPr>
        <w:pStyle w:val="Ttulo3"/>
      </w:pPr>
      <w:bookmarkStart w:id="13" w:name="disponibilidad-de-los-datos"/>
      <w:bookmarkEnd w:id="12"/>
      <w:r>
        <w:t>Disponibilidad de los datos</w:t>
      </w:r>
    </w:p>
    <w:p w:rsidR="00247DB8" w:rsidRDefault="00B526FF">
      <w:pPr>
        <w:pStyle w:val="FirstParagraph"/>
      </w:pPr>
      <w:r>
        <w:t>Desde el 2012 al 2020</w:t>
      </w:r>
    </w:p>
    <w:p w:rsidR="00247DB8" w:rsidRDefault="00B526FF">
      <w:pPr>
        <w:pStyle w:val="Ttulo4"/>
      </w:pPr>
      <w:bookmarkStart w:id="14" w:name="X15baf09908f43d3fc9f95fd57b91781fb448db1"/>
      <w:r>
        <w:t>Relación con instrumentos de planificación nacional o acuerdos, iniciativas interna</w:t>
      </w:r>
      <w:r>
        <w:t>cionales</w:t>
      </w:r>
    </w:p>
    <w:p w:rsidR="00247DB8" w:rsidRDefault="00B526FF">
      <w:pPr>
        <w:numPr>
          <w:ilvl w:val="0"/>
          <w:numId w:val="7"/>
        </w:numPr>
      </w:pPr>
      <w:r>
        <w:t>Ley Orgánica de Régimen Tributario Interno (LORTI)</w:t>
      </w:r>
    </w:p>
    <w:p w:rsidR="00247DB8" w:rsidRDefault="00B526FF">
      <w:pPr>
        <w:numPr>
          <w:ilvl w:val="0"/>
          <w:numId w:val="7"/>
        </w:numPr>
      </w:pPr>
      <w:r>
        <w:t>Reglamento para la aplicación de la Ley Orgánica de Régimen Tributario Interno (RALORTI)</w:t>
      </w:r>
    </w:p>
    <w:p w:rsidR="00247DB8" w:rsidRDefault="00B526FF">
      <w:pPr>
        <w:pStyle w:val="Ttulo3"/>
      </w:pPr>
      <w:bookmarkStart w:id="15" w:name="periodo-de-elaboración"/>
      <w:bookmarkEnd w:id="13"/>
      <w:bookmarkEnd w:id="14"/>
      <w:r>
        <w:t>Periodo de elaboración</w:t>
      </w:r>
    </w:p>
    <w:p w:rsidR="00247DB8" w:rsidRDefault="00B526FF">
      <w:pPr>
        <w:pStyle w:val="FirstParagraph"/>
      </w:pPr>
      <w:r>
        <w:t>Octubre, 2022</w:t>
      </w:r>
    </w:p>
    <w:p w:rsidR="00247DB8" w:rsidRDefault="00B526FF">
      <w:r>
        <w:pict>
          <v:rect id="_x0000_i1032" style="width:0;height:1.5pt" o:hralign="center" o:hrstd="t" o:hr="t"/>
        </w:pict>
      </w:r>
    </w:p>
    <w:p w:rsidR="00247DB8" w:rsidRDefault="00B526FF">
      <w:pPr>
        <w:pStyle w:val="Ttulo2"/>
      </w:pPr>
      <w:bookmarkStart w:id="16" w:name="código-rstudio"/>
      <w:bookmarkEnd w:id="10"/>
      <w:bookmarkEnd w:id="15"/>
      <w:r>
        <w:t>Código Rstudio</w:t>
      </w:r>
    </w:p>
    <w:p w:rsidR="00247DB8" w:rsidRDefault="00B526FF">
      <w:r>
        <w:pict>
          <v:rect id="_x0000_i1033" style="width:0;height:1.5pt" o:hralign="center" o:hrstd="t" o:hr="t"/>
        </w:pict>
      </w:r>
    </w:p>
    <w:p w:rsidR="00247DB8" w:rsidRDefault="00B526FF">
      <w:pPr>
        <w:pStyle w:val="SourceCode"/>
      </w:pPr>
      <w:r>
        <w:rPr>
          <w:rStyle w:val="CommentTok"/>
        </w:rPr>
        <w:t># Paquetes} ---------------------------------------------------------------</w:t>
      </w:r>
      <w:r>
        <w:br/>
      </w:r>
      <w:r>
        <w:br/>
      </w:r>
      <w:r>
        <w:rPr>
          <w:rStyle w:val="CommentTok"/>
        </w:rPr>
        <w:t>#install.packages("gt")</w:t>
      </w:r>
      <w:r>
        <w:br/>
      </w:r>
      <w:r>
        <w:rPr>
          <w:rStyle w:val="CommentTok"/>
        </w:rPr>
        <w:t>#install.packages("flextable")</w:t>
      </w:r>
      <w:r>
        <w:br/>
      </w:r>
      <w:r>
        <w:rPr>
          <w:rStyle w:val="CommentTok"/>
        </w:rPr>
        <w:t>#install.packages("magrittr")</w:t>
      </w:r>
      <w:r>
        <w:br/>
      </w:r>
      <w:r>
        <w:br/>
      </w:r>
      <w:r>
        <w:br/>
      </w:r>
      <w:r>
        <w:rPr>
          <w:rStyle w:val="CommentTok"/>
        </w:rPr>
        <w:t># Librerias ---------------------------------------------------------------</w:t>
      </w:r>
      <w:r>
        <w:br/>
      </w:r>
      <w:r>
        <w:br/>
      </w:r>
      <w:r>
        <w:rPr>
          <w:rStyle w:val="FunctionTok"/>
        </w:rPr>
        <w:t>library</w:t>
      </w:r>
      <w:r>
        <w:rPr>
          <w:rStyle w:val="NormalTok"/>
        </w:rPr>
        <w:t>(tidyver</w:t>
      </w:r>
      <w:r>
        <w:rPr>
          <w:rStyle w:val="NormalTok"/>
        </w:rPr>
        <w:t>se)</w:t>
      </w:r>
      <w:r>
        <w:br/>
      </w:r>
      <w:r>
        <w:rPr>
          <w:rStyle w:val="FunctionTok"/>
        </w:rPr>
        <w:t>library</w:t>
      </w:r>
      <w:r>
        <w:rPr>
          <w:rStyle w:val="NormalTok"/>
        </w:rPr>
        <w:t>(readr)</w:t>
      </w:r>
      <w:r>
        <w:br/>
      </w:r>
      <w:r>
        <w:rPr>
          <w:rStyle w:val="CommentTok"/>
        </w:rPr>
        <w:t># library(gt)</w:t>
      </w:r>
      <w:r>
        <w:br/>
      </w:r>
      <w:r>
        <w:rPr>
          <w:rStyle w:val="FunctionTok"/>
        </w:rPr>
        <w:t>library</w:t>
      </w:r>
      <w:r>
        <w:rPr>
          <w:rStyle w:val="NormalTok"/>
        </w:rPr>
        <w:t>(scales)</w:t>
      </w:r>
      <w:r>
        <w:br/>
      </w:r>
      <w:r>
        <w:rPr>
          <w:rStyle w:val="FunctionTok"/>
        </w:rPr>
        <w:t>library</w:t>
      </w:r>
      <w:r>
        <w:rPr>
          <w:rStyle w:val="NormalTok"/>
        </w:rPr>
        <w:t>(rlang)</w:t>
      </w:r>
      <w:r>
        <w:br/>
      </w:r>
      <w:r>
        <w:rPr>
          <w:rStyle w:val="FunctionTok"/>
        </w:rPr>
        <w:t>library</w:t>
      </w:r>
      <w:r>
        <w:rPr>
          <w:rStyle w:val="NormalTok"/>
        </w:rPr>
        <w:t>(ggplot2)</w:t>
      </w:r>
      <w:r>
        <w:br/>
      </w:r>
      <w:r>
        <w:rPr>
          <w:rStyle w:val="FunctionTok"/>
        </w:rPr>
        <w:t>library</w:t>
      </w:r>
      <w:r>
        <w:rPr>
          <w:rStyle w:val="NormalTok"/>
        </w:rPr>
        <w:t>(flextable)</w:t>
      </w:r>
      <w:r>
        <w:br/>
      </w:r>
      <w:r>
        <w:rPr>
          <w:rStyle w:val="FunctionTok"/>
        </w:rPr>
        <w:t>library</w:t>
      </w:r>
      <w:r>
        <w:rPr>
          <w:rStyle w:val="NormalTok"/>
        </w:rPr>
        <w:t>(magrittr)</w:t>
      </w:r>
      <w:r>
        <w:br/>
      </w:r>
      <w:r>
        <w:br/>
      </w:r>
      <w:r>
        <w:rPr>
          <w:rStyle w:val="CommentTok"/>
        </w:rPr>
        <w:t># Lectura de la tabla general ---------------------------------------------</w:t>
      </w:r>
      <w:r>
        <w:br/>
      </w:r>
      <w:r>
        <w:lastRenderedPageBreak/>
        <w:br/>
      </w:r>
      <w:r>
        <w:rPr>
          <w:rStyle w:val="NormalTok"/>
        </w:rPr>
        <w:t xml:space="preserve">tabla_simulada </w:t>
      </w:r>
      <w:r>
        <w:rPr>
          <w:rStyle w:val="OtherTok"/>
        </w:rPr>
        <w:t>&lt;-</w:t>
      </w:r>
      <w:r>
        <w:rPr>
          <w:rStyle w:val="NormalTok"/>
        </w:rPr>
        <w:t xml:space="preserve"> </w:t>
      </w:r>
      <w:r>
        <w:rPr>
          <w:rStyle w:val="FunctionTok"/>
        </w:rPr>
        <w:t>readRDS</w:t>
      </w:r>
      <w:r>
        <w:rPr>
          <w:rStyle w:val="NormalTok"/>
        </w:rPr>
        <w:t>(</w:t>
      </w:r>
      <w:r>
        <w:rPr>
          <w:rStyle w:val="StringTok"/>
        </w:rPr>
        <w:t>"C:/Users/andre/Downloads/tabla_simulada.rds"</w:t>
      </w:r>
      <w:r>
        <w:rPr>
          <w:rStyle w:val="NormalTok"/>
        </w:rPr>
        <w:t>)</w:t>
      </w:r>
      <w:r>
        <w:br/>
      </w:r>
      <w:r>
        <w:br/>
      </w:r>
      <w:r>
        <w:br/>
      </w:r>
      <w:r>
        <w:br/>
      </w:r>
      <w:r>
        <w:rPr>
          <w:rStyle w:val="CommentTok"/>
        </w:rPr>
        <w:t># Indicador de Tratamiento continuo de uso de paraísos fiscales -----------</w:t>
      </w:r>
      <w:r>
        <w:br/>
      </w:r>
      <w:r>
        <w:br/>
      </w:r>
      <w:r>
        <w:rPr>
          <w:rStyle w:val="CommentTok"/>
        </w:rPr>
        <w:t># Tabla de estadistica descriptiva para el periodo 2012-2014 --------------</w:t>
      </w:r>
      <w:r>
        <w:br/>
      </w:r>
      <w:r>
        <w:br/>
      </w:r>
      <w:r>
        <w:rPr>
          <w:rStyle w:val="NormalTok"/>
        </w:rPr>
        <w:t xml:space="preserve">year_2012_2014 </w:t>
      </w:r>
      <w:r>
        <w:rPr>
          <w:rStyle w:val="OtherTok"/>
        </w:rPr>
        <w:t>&lt;-</w:t>
      </w:r>
      <w:r>
        <w:rPr>
          <w:rStyle w:val="NormalTok"/>
        </w:rPr>
        <w:t xml:space="preserve"> tabla_simulada </w:t>
      </w:r>
      <w:r>
        <w:rPr>
          <w:rStyle w:val="SpecialCharTok"/>
        </w:rPr>
        <w:t>%&gt;%</w:t>
      </w:r>
      <w:r>
        <w:rPr>
          <w:rStyle w:val="NormalTok"/>
        </w:rPr>
        <w:t xml:space="preserve"> </w:t>
      </w:r>
      <w:r>
        <w:br/>
      </w:r>
      <w:r>
        <w:rPr>
          <w:rStyle w:val="NormalTok"/>
        </w:rPr>
        <w:t xml:space="preserve">  </w:t>
      </w:r>
      <w:r>
        <w:rPr>
          <w:rStyle w:val="FunctionTok"/>
        </w:rPr>
        <w:t>filter</w:t>
      </w:r>
      <w:r>
        <w:rPr>
          <w:rStyle w:val="NormalTok"/>
        </w:rPr>
        <w:t>(anio_</w:t>
      </w:r>
      <w:r>
        <w:rPr>
          <w:rStyle w:val="NormalTok"/>
        </w:rPr>
        <w:t xml:space="preserve">fiscal </w:t>
      </w:r>
      <w:r>
        <w:rPr>
          <w:rStyle w:val="SpecialCharTok"/>
        </w:rPr>
        <w:t>&lt;=</w:t>
      </w:r>
      <w:r>
        <w:rPr>
          <w:rStyle w:val="NormalTok"/>
        </w:rPr>
        <w:t xml:space="preserve"> </w:t>
      </w:r>
      <w:r>
        <w:rPr>
          <w:rStyle w:val="DecValTok"/>
        </w:rPr>
        <w:t>2014</w:t>
      </w:r>
      <w:r>
        <w:rPr>
          <w:rStyle w:val="NormalTok"/>
        </w:rPr>
        <w:t>)</w:t>
      </w:r>
      <w:r>
        <w:br/>
      </w:r>
      <w:r>
        <w:rPr>
          <w:rStyle w:val="NormalTok"/>
        </w:rPr>
        <w:t xml:space="preserve">  </w:t>
      </w:r>
      <w:r>
        <w:br/>
      </w:r>
      <w:r>
        <w:br/>
      </w:r>
      <w:r>
        <w:br/>
      </w:r>
      <w:r>
        <w:rPr>
          <w:rStyle w:val="NormalTok"/>
        </w:rPr>
        <w:t xml:space="preserve">tabla1 </w:t>
      </w:r>
      <w:r>
        <w:rPr>
          <w:rStyle w:val="OtherTok"/>
        </w:rPr>
        <w:t>&lt;-</w:t>
      </w:r>
      <w:r>
        <w:rPr>
          <w:rStyle w:val="NormalTok"/>
        </w:rPr>
        <w:t xml:space="preserve">year_2012_2014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(anio_fiscal)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 xml:space="preserve">( </w:t>
      </w:r>
      <w:r>
        <w:rPr>
          <w:rStyle w:val="AttributeTok"/>
        </w:rPr>
        <w:t>mean =</w:t>
      </w:r>
      <w:r>
        <w:rPr>
          <w:rStyle w:val="NormalTok"/>
        </w:rPr>
        <w:t xml:space="preserve"> </w:t>
      </w:r>
      <w:r>
        <w:rPr>
          <w:rStyle w:val="FunctionTok"/>
        </w:rPr>
        <w:t>mean</w:t>
      </w:r>
      <w:r>
        <w:rPr>
          <w:rStyle w:val="NormalTok"/>
        </w:rPr>
        <w:t>(beneficiarios_pff),</w:t>
      </w:r>
      <w:r>
        <w:br/>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sd =</w:t>
      </w:r>
      <w:r>
        <w:rPr>
          <w:rStyle w:val="NormalTok"/>
        </w:rPr>
        <w:t xml:space="preserve"> </w:t>
      </w:r>
      <w:r>
        <w:rPr>
          <w:rStyle w:val="FunctionTok"/>
        </w:rPr>
        <w:t>sd</w:t>
      </w:r>
      <w:r>
        <w:rPr>
          <w:rStyle w:val="NormalTok"/>
        </w:rPr>
        <w:t>(beneficiarios_pff),</w:t>
      </w:r>
      <w:r>
        <w:br/>
      </w:r>
      <w:r>
        <w:rPr>
          <w:rStyle w:val="NormalTok"/>
        </w:rPr>
        <w:t xml:space="preserve">             </w:t>
      </w:r>
      <w:r>
        <w:rPr>
          <w:rStyle w:val="AttributeTok"/>
        </w:rPr>
        <w:t>median =</w:t>
      </w:r>
      <w:r>
        <w:rPr>
          <w:rStyle w:val="NormalTok"/>
        </w:rPr>
        <w:t xml:space="preserve"> </w:t>
      </w:r>
      <w:r>
        <w:rPr>
          <w:rStyle w:val="FunctionTok"/>
        </w:rPr>
        <w:t>median</w:t>
      </w:r>
      <w:r>
        <w:rPr>
          <w:rStyle w:val="NormalTok"/>
        </w:rPr>
        <w:t>(beneficiarios_pff))</w:t>
      </w:r>
      <w:r>
        <w:br/>
      </w:r>
      <w:r>
        <w:br/>
      </w:r>
      <w:r>
        <w:br/>
      </w:r>
      <w:r>
        <w:rPr>
          <w:rStyle w:val="FunctionTok"/>
        </w:rPr>
        <w:t>flextable</w:t>
      </w:r>
      <w:r>
        <w:rPr>
          <w:rStyle w:val="NormalTok"/>
        </w:rPr>
        <w:t>(tab</w:t>
      </w:r>
      <w:r>
        <w:rPr>
          <w:rStyle w:val="NormalTok"/>
        </w:rPr>
        <w:t xml:space="preserve">la1)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add_footer_lines</w:t>
      </w:r>
      <w:r>
        <w:rPr>
          <w:rStyle w:val="NormalTok"/>
        </w:rPr>
        <w:t>(</w:t>
      </w:r>
      <w:r>
        <w:rPr>
          <w:rStyle w:val="StringTok"/>
        </w:rPr>
        <w:t>"Anexo APS"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color</w:t>
      </w:r>
      <w:r>
        <w:rPr>
          <w:rStyle w:val="NormalTok"/>
        </w:rPr>
        <w:t>(</w:t>
      </w:r>
      <w:r>
        <w:rPr>
          <w:rStyle w:val="AttributeTok"/>
        </w:rPr>
        <w:t>part =</w:t>
      </w:r>
      <w:r>
        <w:rPr>
          <w:rStyle w:val="NormalTok"/>
        </w:rPr>
        <w:t xml:space="preserve"> </w:t>
      </w:r>
      <w:r>
        <w:rPr>
          <w:rStyle w:val="StringTok"/>
        </w:rPr>
        <w:t>"footer"</w:t>
      </w:r>
      <w:r>
        <w:rPr>
          <w:rStyle w:val="NormalTok"/>
        </w:rPr>
        <w:t xml:space="preserve">, </w:t>
      </w:r>
      <w:r>
        <w:rPr>
          <w:rStyle w:val="AttributeTok"/>
        </w:rPr>
        <w:t>color =</w:t>
      </w:r>
      <w:r>
        <w:rPr>
          <w:rStyle w:val="NormalTok"/>
        </w:rPr>
        <w:t xml:space="preserve"> </w:t>
      </w:r>
      <w:r>
        <w:rPr>
          <w:rStyle w:val="StringTok"/>
        </w:rPr>
        <w:t>"#666669"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AttributeTok"/>
        </w:rPr>
        <w:t>caption =</w:t>
      </w:r>
      <w:r>
        <w:rPr>
          <w:rStyle w:val="NormalTok"/>
        </w:rPr>
        <w:t xml:space="preserve"> </w:t>
      </w:r>
      <w:r>
        <w:rPr>
          <w:rStyle w:val="StringTok"/>
        </w:rPr>
        <w:t>"Estadisticas descriptivas paraísos fiscales"</w:t>
      </w:r>
      <w:r>
        <w:rPr>
          <w:rStyle w:val="NormalTok"/>
        </w:rPr>
        <w:t>)</w:t>
      </w:r>
      <w:r>
        <w:br/>
      </w:r>
      <w:r>
        <w:rPr>
          <w:rStyle w:val="NormalTok"/>
        </w:rPr>
        <w:t xml:space="preserve">  </w:t>
      </w:r>
      <w:r>
        <w:br/>
      </w:r>
      <w:r>
        <w:br/>
      </w:r>
      <w:r>
        <w:br/>
      </w:r>
      <w:r>
        <w:br/>
      </w:r>
      <w:r>
        <w:rPr>
          <w:rStyle w:val="CommentTok"/>
        </w:rPr>
        <w:t># Histograma --------------------------------------------------------------</w:t>
      </w:r>
      <w:r>
        <w:br/>
      </w:r>
      <w:r>
        <w:br/>
      </w:r>
      <w:r>
        <w:br/>
      </w:r>
      <w:r>
        <w:rPr>
          <w:rStyle w:val="FunctionTok"/>
        </w:rPr>
        <w:t>hist</w:t>
      </w:r>
      <w:r>
        <w:rPr>
          <w:rStyle w:val="NormalTok"/>
        </w:rPr>
        <w:t>(year_2012_2014</w:t>
      </w:r>
      <w:r>
        <w:rPr>
          <w:rStyle w:val="SpecialCharTok"/>
        </w:rPr>
        <w:t>$</w:t>
      </w:r>
      <w:r>
        <w:rPr>
          <w:rStyle w:val="NormalTok"/>
        </w:rPr>
        <w:t>beneficiarios_pff)</w:t>
      </w:r>
      <w:bookmarkEnd w:id="16"/>
    </w:p>
    <w:sectPr w:rsidR="00247DB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6FF" w:rsidRDefault="00B526FF">
      <w:pPr>
        <w:spacing w:after="0"/>
      </w:pPr>
      <w:r>
        <w:separator/>
      </w:r>
    </w:p>
  </w:endnote>
  <w:endnote w:type="continuationSeparator" w:id="0">
    <w:p w:rsidR="00B526FF" w:rsidRDefault="00B526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6FF" w:rsidRDefault="00B526FF">
      <w:r>
        <w:separator/>
      </w:r>
    </w:p>
  </w:footnote>
  <w:footnote w:type="continuationSeparator" w:id="0">
    <w:p w:rsidR="00B526FF" w:rsidRDefault="00B526F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807A3B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C0629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0F835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E87C5F7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DB8"/>
    <w:rsid w:val="00247DB8"/>
    <w:rsid w:val="00B526FF"/>
    <w:rsid w:val="00D5477E"/>
    <w:rsid w:val="00FF1F7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280CD1-A107-4B08-B4AA-4399D63A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606</Words>
  <Characters>3337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Fichas metodologicas para indicadores fiscales</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Fichas metodologicas para indicadores fiscales</dc:title>
  <dc:creator>Alex Bajaña</dc:creator>
  <cp:keywords/>
  <cp:lastModifiedBy>usuarioexterno</cp:lastModifiedBy>
  <cp:revision>2</cp:revision>
  <dcterms:created xsi:type="dcterms:W3CDTF">2022-10-24T21:33:00Z</dcterms:created>
  <dcterms:modified xsi:type="dcterms:W3CDTF">2022-10-24T21:33:00Z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2022-10-22</vt:lpwstr>
  </property>
  <property fmtid="{D5CDD505-2E9C-101B-9397-08002B2CF9AE}" pid="3" name="output">
    <vt:lpwstr>word_document</vt:lpwstr>
  </property>
  <property fmtid="{D5CDD505-2E9C-101B-9397-08002B2CF9AE}" pid="4" name="subtitle">
    <vt:lpwstr>Banco mundial</vt:lpwstr>
  </property>
</Properties>
</file>