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Fichas</w:t>
      </w:r>
      <w:r>
        <w:t xml:space="preserve"> </w:t>
      </w:r>
      <w:r>
        <w:t xml:space="preserve">metodologicas</w:t>
      </w:r>
      <w:r>
        <w:t xml:space="preserve"> </w:t>
      </w:r>
      <w:r>
        <w:t xml:space="preserve">para</w:t>
      </w:r>
      <w:r>
        <w:t xml:space="preserve"> </w:t>
      </w:r>
      <w:r>
        <w:t xml:space="preserve">indicadores</w:t>
      </w:r>
      <w:r>
        <w:t xml:space="preserve"> </w:t>
      </w:r>
      <w:r>
        <w:t xml:space="preserve">fiscales</w:t>
      </w:r>
    </w:p>
    <w:p>
      <w:pPr>
        <w:pStyle w:val="Subtitle"/>
      </w:pPr>
      <w:r>
        <w:t xml:space="preserve">Banco</w:t>
      </w:r>
      <w:r>
        <w:t xml:space="preserve"> </w:t>
      </w:r>
      <w:r>
        <w:t xml:space="preserve">mundial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Bajaña</w:t>
      </w:r>
    </w:p>
    <w:p>
      <w:pPr>
        <w:pStyle w:val="Date"/>
      </w:pPr>
      <w:r>
        <w:t xml:space="preserve">2022-10-22</w:t>
      </w:r>
    </w:p>
    <w:bookmarkStart w:id="28" w:name="datos-del-indicador"/>
    <w:p>
      <w:pPr>
        <w:pStyle w:val="Heading2"/>
      </w:pPr>
      <w:r>
        <w:t xml:space="preserve">Datos del indicador</w:t>
      </w:r>
    </w:p>
    <w:bookmarkStart w:id="20" w:name="nombre-del-indicador"/>
    <w:p>
      <w:pPr>
        <w:pStyle w:val="Heading3"/>
      </w:pPr>
      <w:r>
        <w:t xml:space="preserve">Nombre del Indicador</w:t>
      </w:r>
    </w:p>
    <w:p>
      <w:pPr>
        <w:pStyle w:val="FirstParagraph"/>
      </w:pPr>
      <w:r>
        <w:t xml:space="preserve">Tratamiento continuo de uso de paraísos fiscales (nivel 2014)</w:t>
      </w:r>
    </w:p>
    <w:p>
      <w:r>
        <w:pict>
          <v:rect style="width:0;height:1.5pt" o:hralign="center" o:hrstd="t" o:hr="t"/>
        </w:pict>
      </w:r>
    </w:p>
    <w:bookmarkEnd w:id="20"/>
    <w:bookmarkStart w:id="21" w:name="definición"/>
    <w:p>
      <w:pPr>
        <w:pStyle w:val="Heading3"/>
      </w:pPr>
      <w:r>
        <w:t xml:space="preserve">Definición</w:t>
      </w:r>
    </w:p>
    <w:p>
      <w:pPr>
        <w:pStyle w:val="FirstParagraph"/>
      </w:pPr>
      <w:r>
        <w:t xml:space="preserve">Dado el porcentaje de participación efectiva con residencia en paraisos fiscales que declaran las sociedades se toma el valor correspondiente al año 2014.</w:t>
      </w:r>
    </w:p>
    <w:p>
      <w:r>
        <w:pict>
          <v:rect style="width:0;height:1.5pt" o:hralign="center" o:hrstd="t" o:hr="t"/>
        </w:pict>
      </w:r>
    </w:p>
    <w:bookmarkEnd w:id="21"/>
    <w:bookmarkStart w:id="22" w:name="fórmula-del-cálculo"/>
    <w:p>
      <w:pPr>
        <w:pStyle w:val="Heading3"/>
      </w:pPr>
      <w:r>
        <w:t xml:space="preserve">Fórmula del cálculo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F</m:t>
          </m:r>
          <m:r>
            <m:rPr>
              <m:sty m:val="p"/>
            </m:rPr>
            <m:t>_</m:t>
          </m:r>
          <m:sSub>
            <m:e>
              <m:r>
                <m:t>14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2014</m:t>
              </m:r>
            </m:sub>
          </m:sSub>
        </m:oMath>
      </m:oMathPara>
    </w:p>
    <w:p>
      <w:pPr>
        <w:pStyle w:val="FirstParagraph"/>
      </w:pPr>
      <w:r>
        <w:t xml:space="preserve">Donde: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t</m:t>
            </m:r>
          </m:sub>
        </m:sSub>
      </m:oMath>
      <w:r>
        <w:t xml:space="preserve"> </w:t>
      </w:r>
      <w:r>
        <w:t xml:space="preserve">: participación efectiva en paraísos fiscales de la empresa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 el año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2014</m:t>
        </m:r>
      </m:oMath>
    </w:p>
    <w:p>
      <w:pPr>
        <w:pStyle w:val="BodyText"/>
      </w:pPr>
      <m:oMath>
        <m:r>
          <m:t>i</m:t>
        </m:r>
      </m:oMath>
      <w:r>
        <w:t xml:space="preserve"> </w:t>
      </w:r>
      <w:r>
        <w:t xml:space="preserve">: beneficiarios finales en paraísos fiscales</w:t>
      </w:r>
    </w:p>
    <w:p>
      <w:pPr>
        <w:pStyle w:val="BodyText"/>
      </w:pPr>
      <m:oMath>
        <m:r>
          <m:t>P</m:t>
        </m:r>
        <m:r>
          <m:t>F</m:t>
        </m:r>
        <m:r>
          <m:rPr>
            <m:sty m:val="p"/>
          </m:rPr>
          <m:t>_</m:t>
        </m:r>
        <m:sSub>
          <m:e>
            <m:r>
              <m:t>14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participación de los beneficiarios finales con residencia en paraisos de las empresas durante el año 2014</w:t>
      </w:r>
    </w:p>
    <w:p>
      <w:r>
        <w:pict>
          <v:rect style="width:0;height:1.5pt" o:hralign="center" o:hrstd="t" o:hr="t"/>
        </w:pict>
      </w:r>
    </w:p>
    <w:bookmarkEnd w:id="22"/>
    <w:bookmarkStart w:id="23" w:name="definición-de-las-variables-involucradas"/>
    <w:p>
      <w:pPr>
        <w:pStyle w:val="Heading3"/>
      </w:pPr>
      <w:r>
        <w:t xml:space="preserve">Definición de las variables involucradas</w:t>
      </w:r>
    </w:p>
    <w:p>
      <w:pPr>
        <w:pStyle w:val="FirstParagraph"/>
      </w:pPr>
      <w:r>
        <w:t xml:space="preserve">Para el cálculo del tratamiento a nivel 2014 de uso de paraísos fiscales, se tomará en cuenta: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Anexo APS: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Porcentaje efectivo de participacion</w:t>
      </w:r>
      <w:r>
        <w:t xml:space="preserve">: es el porcentaje de propiedad en la emmpresa informante que tiene cada beneficiario final declarado o informado en el Anexo APS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Identificador del informante</w:t>
      </w:r>
      <w:r>
        <w:t xml:space="preserve"> </w:t>
      </w:r>
      <w:r>
        <w:t xml:space="preserve">Identificador anónimo de la empresa informante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Año fiscal</w:t>
      </w:r>
      <w:r>
        <w:t xml:space="preserve">: año fiscal declarado en el Anexo APS</w:t>
      </w:r>
    </w:p>
    <w:p>
      <w:r>
        <w:pict>
          <v:rect style="width:0;height:1.5pt" o:hralign="center" o:hrstd="t" o:hr="t"/>
        </w:pict>
      </w:r>
    </w:p>
    <w:bookmarkEnd w:id="23"/>
    <w:bookmarkStart w:id="24" w:name="metodología-de-cálculo"/>
    <w:p>
      <w:pPr>
        <w:pStyle w:val="Heading3"/>
      </w:pPr>
      <w:r>
        <w:t xml:space="preserve">Metodología de cálculo</w:t>
      </w:r>
    </w:p>
    <w:p>
      <w:pPr>
        <w:numPr>
          <w:ilvl w:val="0"/>
          <w:numId w:val="1003"/>
        </w:numPr>
      </w:pPr>
      <w:r>
        <w:t xml:space="preserve">Se determinan las sociedades que hayan declarado impuesto a la renta en los años del periodo</w:t>
      </w:r>
    </w:p>
    <w:p>
      <w:pPr>
        <w:numPr>
          <w:ilvl w:val="0"/>
          <w:numId w:val="1003"/>
        </w:numPr>
      </w:pPr>
      <w:r>
        <w:t xml:space="preserve">Se excluyen aquellas empresas que presentan inconsistencias en la declaración.</w:t>
      </w:r>
    </w:p>
    <w:p>
      <w:pPr>
        <w:numPr>
          <w:ilvl w:val="0"/>
          <w:numId w:val="1003"/>
        </w:numPr>
      </w:pPr>
      <w:r>
        <w:t xml:space="preserve">Se filtran los datos para el año 2014</w:t>
      </w:r>
    </w:p>
    <w:bookmarkEnd w:id="24"/>
    <w:bookmarkStart w:id="25" w:name="limitaciones-técnicas"/>
    <w:p>
      <w:pPr>
        <w:pStyle w:val="Heading3"/>
      </w:pPr>
      <w:r>
        <w:t xml:space="preserve">Limitaciones técnicas</w:t>
      </w:r>
    </w:p>
    <w:p>
      <w:pPr>
        <w:numPr>
          <w:ilvl w:val="0"/>
          <w:numId w:val="1004"/>
        </w:numPr>
        <w:pStyle w:val="Compact"/>
      </w:pPr>
      <w:r>
        <w:t xml:space="preserve">Se considera a todos los informantes del Anexo APS que hayan declarado formulario al impuesto a la renta.</w:t>
      </w:r>
    </w:p>
    <w:p>
      <w:pPr>
        <w:numPr>
          <w:ilvl w:val="0"/>
          <w:numId w:val="1004"/>
        </w:numPr>
        <w:pStyle w:val="Compact"/>
      </w:pPr>
      <w:r>
        <w:t xml:space="preserve">Para el análisis no se consideran las correcciones en la presentación de años pasados.</w:t>
      </w:r>
    </w:p>
    <w:p>
      <w:pPr>
        <w:numPr>
          <w:ilvl w:val="0"/>
          <w:numId w:val="1004"/>
        </w:numPr>
        <w:pStyle w:val="Compact"/>
      </w:pPr>
      <w:r>
        <w:t xml:space="preserve">La tasa de omisión del anexo APS información se presenta a continuación: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854"/>
        <w:gridCol w:w="2343"/>
        <w:gridCol w:w="1897"/>
      </w:tblGrid>
      <w:tr>
        <w:trPr>
          <w:cantSplit/>
          <w:trHeight w:val="61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Año fiscal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de anexos APS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Omisión APS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Inconsistencias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102 034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23 994</w:t>
              <w:br/>
              <w:t xml:space="preserve">(23.52%)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688</w:t>
              <w:br/>
              <w:t xml:space="preserve">(0.67%)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23 187</w:t>
              <w:br/>
              <w:t xml:space="preserve">(21.06%)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891</w:t>
              <w:br/>
              <w:t xml:space="preserve">(0.81%)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117 314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22 703</w:t>
              <w:br/>
              <w:t xml:space="preserve">(19.35%)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1 056</w:t>
              <w:br/>
              <w:t xml:space="preserve">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21 495</w:t>
              <w:br/>
              <w:t xml:space="preserve">(17.47%)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1 150</w:t>
              <w:br/>
              <w:t xml:space="preserve">(0.93%)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123 686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25 275</w:t>
              <w:br/>
              <w:t xml:space="preserve">(20.43%)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  <w:br/>
              <w:t xml:space="preserve">(0.75%)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24 367</w:t>
              <w:br/>
              <w:t xml:space="preserve">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937</w:t>
              <w:br/>
              <w:t xml:space="preserve">(0.73%)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131 810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29 936</w:t>
              <w:br/>
              <w:t xml:space="preserve">(22.71%)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893</w:t>
              <w:br/>
              <w:t xml:space="preserve">(0.68%)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44 302</w:t>
              <w:br/>
              <w:t xml:space="preserve">(32.04%)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  <w:br/>
              <w:t xml:space="preserve">(0.66%)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 parentesis se presenta el porcentaje respecto al total de anexos APS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unidad-de-medida-del-indicador"/>
    <w:p>
      <w:pPr>
        <w:pStyle w:val="Heading3"/>
      </w:pPr>
      <w:r>
        <w:t xml:space="preserve">Unidad de medida del indicador</w:t>
      </w:r>
    </w:p>
    <w:p>
      <w:pPr>
        <w:pStyle w:val="FirstParagraph"/>
      </w:pPr>
      <w:r>
        <w:t xml:space="preserve">Porcentaje de participaciòn</w:t>
      </w:r>
    </w:p>
    <w:p>
      <w:r>
        <w:pict>
          <v:rect style="width:0;height:1.5pt" o:hralign="center" o:hrstd="t" o:hr="t"/>
        </w:pict>
      </w:r>
    </w:p>
    <w:bookmarkEnd w:id="26"/>
    <w:bookmarkStart w:id="27" w:name="interpretación-del-indicador"/>
    <w:p>
      <w:pPr>
        <w:pStyle w:val="Heading3"/>
      </w:pPr>
      <w:r>
        <w:t xml:space="preserve">Interpretación del indicador</w:t>
      </w:r>
    </w:p>
    <w:p>
      <w:pPr>
        <w:pStyle w:val="FirstParagraph"/>
      </w:pPr>
      <w:r>
        <w:t xml:space="preserve">Participación efectiva en paraisos fiscales en el año 2014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metadatos"/>
    <w:p>
      <w:pPr>
        <w:pStyle w:val="Heading2"/>
      </w:pPr>
      <w:r>
        <w:t xml:space="preserve">Metadatos</w:t>
      </w:r>
    </w:p>
    <w:bookmarkStart w:id="29" w:name="fuente-de-información"/>
    <w:p>
      <w:pPr>
        <w:pStyle w:val="Heading3"/>
      </w:pPr>
      <w:r>
        <w:t xml:space="preserve">Fuente de información</w:t>
      </w:r>
    </w:p>
    <w:p>
      <w:pPr>
        <w:pStyle w:val="FirstParagraph"/>
      </w:pPr>
      <w:r>
        <w:t xml:space="preserve">Anexo APS</w:t>
      </w:r>
    </w:p>
    <w:bookmarkEnd w:id="29"/>
    <w:bookmarkStart w:id="30" w:name="X208e326048d73b182d13a01148ac6211aa05840"/>
    <w:p>
      <w:pPr>
        <w:pStyle w:val="Heading3"/>
      </w:pPr>
      <w:r>
        <w:t xml:space="preserve">Periodicidad del indicador y de las variables</w:t>
      </w:r>
    </w:p>
    <w:p>
      <w:pPr>
        <w:pStyle w:val="FirstParagraph"/>
      </w:pPr>
      <w:r>
        <w:t xml:space="preserve">Anual</w:t>
      </w:r>
    </w:p>
    <w:bookmarkEnd w:id="30"/>
    <w:bookmarkStart w:id="32" w:name="disponibilidad-de-los-datos"/>
    <w:p>
      <w:pPr>
        <w:pStyle w:val="Heading3"/>
      </w:pPr>
      <w:r>
        <w:t xml:space="preserve">Disponibilidad de los datos</w:t>
      </w:r>
    </w:p>
    <w:p>
      <w:pPr>
        <w:pStyle w:val="FirstParagraph"/>
      </w:pPr>
      <w:r>
        <w:t xml:space="preserve">Desde el 2012 al 2020</w:t>
      </w:r>
    </w:p>
    <w:bookmarkStart w:id="31" w:name="X15baf09908f43d3fc9f95fd57b91781fb448db1"/>
    <w:p>
      <w:pPr>
        <w:pStyle w:val="Heading4"/>
      </w:pPr>
      <w:r>
        <w:t xml:space="preserve">Relación con instrumentos de planificación nacional o acuerdos, iniciativas internacionales</w:t>
      </w:r>
    </w:p>
    <w:p>
      <w:pPr>
        <w:numPr>
          <w:ilvl w:val="0"/>
          <w:numId w:val="1005"/>
        </w:numPr>
      </w:pPr>
      <w:r>
        <w:t xml:space="preserve">Ley Orgánica de Régimen Tributario Interno (LORTI)</w:t>
      </w:r>
    </w:p>
    <w:p>
      <w:pPr>
        <w:numPr>
          <w:ilvl w:val="0"/>
          <w:numId w:val="1005"/>
        </w:numPr>
      </w:pPr>
      <w:r>
        <w:t xml:space="preserve">Reglamento para la aplicación de la Ley Orgánica de Régimen Tributario Interno (RALORTI)</w:t>
      </w:r>
    </w:p>
    <w:bookmarkEnd w:id="31"/>
    <w:bookmarkEnd w:id="32"/>
    <w:bookmarkStart w:id="33" w:name="periodo-de-elaboración"/>
    <w:p>
      <w:pPr>
        <w:pStyle w:val="Heading3"/>
      </w:pPr>
      <w:r>
        <w:t xml:space="preserve">Periodo de elaboración</w:t>
      </w:r>
    </w:p>
    <w:p>
      <w:pPr>
        <w:pStyle w:val="FirstParagraph"/>
      </w:pPr>
      <w:r>
        <w:t xml:space="preserve">Octubre, 2022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distribución-del-indicador"/>
    <w:p>
      <w:pPr>
        <w:pStyle w:val="Heading2"/>
      </w:pPr>
      <w:r>
        <w:t xml:space="preserve">Distribución del indicador</w:t>
      </w:r>
    </w:p>
    <w:bookmarkStart w:id="36" w:name="Xbce01b2ea4772b7f8226d7b088a8f7239c533dd"/>
    <w:p>
      <w:pPr>
        <w:pStyle w:val="Heading4"/>
      </w:pPr>
      <w:r>
        <w:t xml:space="preserve">Grafico 1. Distribucion de la participación promedio en paraisos fiscales en el periodo 2012 - 2014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dor2_paraisos_fiscales_lev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tabla-1.-resumen-de-la-distribución"/>
    <w:p>
      <w:pPr>
        <w:pStyle w:val="Heading4"/>
      </w:pPr>
      <w:r>
        <w:t xml:space="preserve">Tabla 1. Resumen de la distribución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010"/>
        <w:gridCol w:w="1425"/>
        <w:gridCol w:w="1255"/>
      </w:tblGrid>
      <w:tr>
        <w:trPr>
          <w:cantSplit/>
          <w:trHeight w:val="57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Muestra/Panel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Desv. Std.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Mediana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Semibalanceado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</w:tbl>
    <w:bookmarkEnd w:id="37"/>
    <w:bookmarkEnd w:id="38"/>
    <w:bookmarkStart w:id="39" w:name="estadísticas-anuales-del-indicador"/>
    <w:p>
      <w:pPr>
        <w:pStyle w:val="Heading2"/>
      </w:pPr>
      <w:r>
        <w:t xml:space="preserve">Estadísticas anuales del indicador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364"/>
        <w:gridCol w:w="1206"/>
        <w:gridCol w:w="1071"/>
        <w:gridCol w:w="1206"/>
        <w:gridCol w:w="777"/>
        <w:gridCol w:w="1132"/>
        <w:gridCol w:w="826"/>
        <w:gridCol w:w="1010"/>
        <w:gridCol w:w="961"/>
      </w:tblGrid>
      <w:tr>
        <w:trPr>
          <w:cantSplit/>
          <w:trHeight w:val="57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Muestra/Panel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Año fiscal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Vacios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Cero's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Mín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58 227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57 181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Desbalanceado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98 473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97 013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38.25</w:t>
            </w:r>
          </w:p>
        </w:tc>
      </w:tr>
    </w:tbl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Fichas metodologicas para indicadores fiscales</dc:title>
  <dc:creator>Alex Bajaña</dc:creator>
  <cp:keywords/>
  <dcterms:created xsi:type="dcterms:W3CDTF">2022-10-25T21:19:32Z</dcterms:created>
  <dcterms:modified xsi:type="dcterms:W3CDTF">2022-10-25T21:19:32Z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2022-10-22</vt:lpwstr>
  </property>
  <property fmtid="{D5CDD505-2E9C-101B-9397-08002B2CF9AE}" pid="3" name="output">
    <vt:lpwstr>word_document</vt:lpwstr>
  </property>
  <property fmtid="{D5CDD505-2E9C-101B-9397-08002B2CF9AE}" pid="4" name="subtitle">
    <vt:lpwstr>Banco mundial</vt:lpwstr>
  </property>
</Properties>
</file>