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46F85" w14:textId="05FA666E" w:rsidR="00005868" w:rsidRDefault="00C25E84">
      <w:r>
        <w:t>Renewable</w:t>
      </w:r>
      <w:r w:rsidR="00B201C4">
        <w:t xml:space="preserve"> </w:t>
      </w:r>
      <w:r>
        <w:t>energy</w:t>
      </w:r>
      <w:r w:rsidR="00B201C4">
        <w:t xml:space="preserve"> has become critical to our planet. Just think of CO2 emissions and depletion of non-</w:t>
      </w:r>
      <w:r>
        <w:t>renewable</w:t>
      </w:r>
      <w:r w:rsidR="00B201C4">
        <w:t xml:space="preserve"> </w:t>
      </w:r>
      <w:r>
        <w:t>energy</w:t>
      </w:r>
      <w:r w:rsidR="00B201C4">
        <w:t xml:space="preserve"> sources like oil. It’s estimated that by 2050 Solar and Wind energy may supply up to </w:t>
      </w:r>
      <w:r w:rsidR="00005868">
        <w:t>2/</w:t>
      </w:r>
      <w:r w:rsidR="00747EB9">
        <w:t>3 of</w:t>
      </w:r>
      <w:r w:rsidR="00B201C4">
        <w:t xml:space="preserve"> the world’s energy needs</w:t>
      </w:r>
      <w:r w:rsidR="00747EB9">
        <w:t xml:space="preserve">. Wind energy </w:t>
      </w:r>
      <w:r w:rsidR="00BE154F">
        <w:t>“</w:t>
      </w:r>
      <w:r w:rsidR="00BE154F">
        <w:rPr>
          <w:rFonts w:ascii="Calibri" w:hAnsi="Calibri" w:cs="Calibri"/>
          <w:color w:val="111111"/>
          <w:spacing w:val="7"/>
          <w:sz w:val="33"/>
          <w:szCs w:val="33"/>
          <w:shd w:val="clear" w:color="auto" w:fill="FFFFFF"/>
        </w:rPr>
        <w:t>will</w:t>
      </w:r>
      <w:r w:rsidR="00747EB9">
        <w:rPr>
          <w:rFonts w:ascii="Calibri" w:hAnsi="Calibri" w:cs="Calibri"/>
          <w:color w:val="111111"/>
          <w:spacing w:val="7"/>
          <w:sz w:val="33"/>
          <w:szCs w:val="33"/>
          <w:shd w:val="clear" w:color="auto" w:fill="FFFFFF"/>
        </w:rPr>
        <w:t xml:space="preserve"> surge from today’s 7% to 26% in thirty years</w:t>
      </w:r>
      <w:r w:rsidR="00131F51">
        <w:rPr>
          <w:rFonts w:ascii="Calibri" w:hAnsi="Calibri" w:cs="Calibri"/>
          <w:color w:val="111111"/>
          <w:spacing w:val="7"/>
          <w:sz w:val="33"/>
          <w:szCs w:val="33"/>
          <w:shd w:val="clear" w:color="auto" w:fill="FFFFFF"/>
        </w:rPr>
        <w:t>”</w:t>
      </w:r>
      <w:r w:rsidR="00747EB9">
        <w:rPr>
          <w:rFonts w:ascii="Calibri" w:hAnsi="Calibri" w:cs="Calibri"/>
          <w:color w:val="111111"/>
          <w:spacing w:val="7"/>
          <w:sz w:val="33"/>
          <w:szCs w:val="33"/>
          <w:shd w:val="clear" w:color="auto" w:fill="FFFFFF"/>
        </w:rPr>
        <w:t> </w:t>
      </w:r>
    </w:p>
    <w:p w14:paraId="21072B91" w14:textId="77777777" w:rsidR="00005868" w:rsidRPr="00005868" w:rsidRDefault="00E01F94">
      <w:pPr>
        <w:rPr>
          <w:b/>
          <w:bCs/>
        </w:rPr>
      </w:pPr>
      <w:hyperlink r:id="rId4" w:history="1">
        <w:r w:rsidR="00005868">
          <w:rPr>
            <w:rStyle w:val="Hyperlink"/>
          </w:rPr>
          <w:t>https://www.enelgreenpower.com/media/news/d/2019/07/bloomberg-new-energy-outlook-2019</w:t>
        </w:r>
      </w:hyperlink>
    </w:p>
    <w:p w14:paraId="2B1F2308" w14:textId="77777777" w:rsidR="004A3022" w:rsidRDefault="00B201C4">
      <w:r>
        <w:t xml:space="preserve"> This project addresses a </w:t>
      </w:r>
      <w:r w:rsidR="00C25E84">
        <w:t>miniscule slice</w:t>
      </w:r>
      <w:r>
        <w:t xml:space="preserve"> of the Wind Energy Universe.</w:t>
      </w:r>
    </w:p>
    <w:p w14:paraId="648FBD13" w14:textId="77777777" w:rsidR="00D53208" w:rsidRDefault="00D53208">
      <w:r>
        <w:t>There are two primary audiences for this information: small investors and communities/</w:t>
      </w:r>
      <w:r w:rsidR="009E0B39">
        <w:t>property owners/</w:t>
      </w:r>
      <w:r>
        <w:t>politicians.</w:t>
      </w:r>
    </w:p>
    <w:p w14:paraId="79557391" w14:textId="1B0B1A2D" w:rsidR="00D53208" w:rsidRDefault="00D53208">
      <w:r>
        <w:t xml:space="preserve">1 - The first group: Small </w:t>
      </w:r>
      <w:r w:rsidR="00B66E67">
        <w:t>I</w:t>
      </w:r>
      <w:r>
        <w:t>nvestors. I say small because a large investor like a state retirement fund will have done extensive research prior to investing</w:t>
      </w:r>
      <w:r w:rsidR="00B66E67">
        <w:t>.</w:t>
      </w:r>
    </w:p>
    <w:p w14:paraId="5E3F7091" w14:textId="77777777" w:rsidR="00C25E84" w:rsidRDefault="00C25E84">
      <w:r>
        <w:t xml:space="preserve">Wind farms are a great source of renewable energy but upfront costs are massive. </w:t>
      </w:r>
    </w:p>
    <w:p w14:paraId="42CE6449" w14:textId="77777777" w:rsidR="00EC67C6" w:rsidRDefault="00EC67C6">
      <w:r>
        <w:t>About $2 million per megawatt turbine rating.</w:t>
      </w:r>
    </w:p>
    <w:p w14:paraId="02EA16CB" w14:textId="77777777" w:rsidR="00EC67C6" w:rsidRDefault="00E01F94">
      <w:hyperlink r:id="rId5" w:history="1">
        <w:r w:rsidR="00EC67C6">
          <w:rPr>
            <w:rStyle w:val="Hyperlink"/>
          </w:rPr>
          <w:t>http://www.windustry.org/how_much_do_wind_turbines_cost</w:t>
        </w:r>
      </w:hyperlink>
    </w:p>
    <w:p w14:paraId="509FE9E2" w14:textId="6AB8B05C" w:rsidR="006E4AD5" w:rsidRDefault="00685A0A">
      <w:r>
        <w:t>So,</w:t>
      </w:r>
      <w:r w:rsidR="00A12A7B">
        <w:t xml:space="preserve"> </w:t>
      </w:r>
      <w:r w:rsidR="00E10AD2">
        <w:t xml:space="preserve">a small wind farm with, </w:t>
      </w:r>
      <w:r>
        <w:t>say, a</w:t>
      </w:r>
      <w:r w:rsidR="00E10AD2">
        <w:t xml:space="preserve"> 100 </w:t>
      </w:r>
      <w:r w:rsidR="0094171F">
        <w:t>MW maximum</w:t>
      </w:r>
      <w:r w:rsidR="00E10AD2">
        <w:t xml:space="preserve"> capacity would cost about $200 million. Investors would probably have to </w:t>
      </w:r>
      <w:r>
        <w:t>ante</w:t>
      </w:r>
      <w:r w:rsidR="00E10AD2">
        <w:t xml:space="preserve"> up at least </w:t>
      </w:r>
      <w:r w:rsidR="005B30CC">
        <w:t>o</w:t>
      </w:r>
      <w:r w:rsidR="00E10AD2">
        <w:t xml:space="preserve">ne-million to participate in a project. Say you have a </w:t>
      </w:r>
      <w:r>
        <w:t>million</w:t>
      </w:r>
      <w:r w:rsidR="00E10AD2">
        <w:t xml:space="preserve"> lying around and you see a prospectus for this very wind farm. It </w:t>
      </w:r>
      <w:r>
        <w:t>presents</w:t>
      </w:r>
      <w:r w:rsidR="00E10AD2">
        <w:t xml:space="preserve"> some simple math</w:t>
      </w:r>
      <w:r w:rsidR="00BE154F">
        <w:t xml:space="preserve"> from a Pollyannaish perspective. </w:t>
      </w:r>
    </w:p>
    <w:p w14:paraId="69792E27" w14:textId="4A529762" w:rsidR="00B70A6F" w:rsidRDefault="00E10AD2">
      <w:r>
        <w:t xml:space="preserve">With the wholesale </w:t>
      </w:r>
      <w:r w:rsidR="0094171F">
        <w:t>cost per</w:t>
      </w:r>
      <w:r w:rsidR="0017438E">
        <w:t xml:space="preserve"> </w:t>
      </w:r>
      <w:r w:rsidR="00685A0A">
        <w:t>MWh</w:t>
      </w:r>
      <w:r>
        <w:t xml:space="preserve"> (megawatt hour) currently about $26</w:t>
      </w:r>
      <w:r w:rsidR="00F87798">
        <w:t xml:space="preserve"> in California</w:t>
      </w:r>
      <w:r w:rsidR="006E4AD5">
        <w:t>…</w:t>
      </w:r>
    </w:p>
    <w:p w14:paraId="68EC8827" w14:textId="77777777" w:rsidR="00B70A6F" w:rsidRDefault="00E01F94">
      <w:hyperlink r:id="rId6" w:history="1">
        <w:r w:rsidR="00B70A6F">
          <w:rPr>
            <w:rStyle w:val="Hyperlink"/>
          </w:rPr>
          <w:t>http://www.energyonline.com/Data/GenericData.aspx?DataId=20</w:t>
        </w:r>
      </w:hyperlink>
    </w:p>
    <w:p w14:paraId="553025EB" w14:textId="61A25E6A" w:rsidR="00A12A7B" w:rsidRDefault="006E4AD5">
      <w:r>
        <w:t>t</w:t>
      </w:r>
      <w:r w:rsidR="00E10AD2">
        <w:t xml:space="preserve">he </w:t>
      </w:r>
      <w:r w:rsidR="00685A0A">
        <w:t>prospectus</w:t>
      </w:r>
      <w:r w:rsidR="00E10AD2">
        <w:t xml:space="preserve"> shows </w:t>
      </w:r>
      <w:r w:rsidR="00685A0A">
        <w:t>wind</w:t>
      </w:r>
      <w:r w:rsidR="00E10AD2">
        <w:t xml:space="preserve"> farm income as 24 hours</w:t>
      </w:r>
      <w:r>
        <w:t xml:space="preserve"> x </w:t>
      </w:r>
      <w:r w:rsidR="00E10AD2">
        <w:t>365 days x $26/MWh x</w:t>
      </w:r>
      <w:r>
        <w:t xml:space="preserve"> </w:t>
      </w:r>
      <w:r w:rsidR="00E10AD2">
        <w:t>100= $22,776,000.</w:t>
      </w:r>
    </w:p>
    <w:p w14:paraId="332B9BD6" w14:textId="77777777" w:rsidR="00E10AD2" w:rsidRDefault="00685A0A">
      <w:r>
        <w:t>Of course,</w:t>
      </w:r>
      <w:r w:rsidR="00E10AD2">
        <w:t xml:space="preserve"> there are ongoing expenses like maintenance and insurance but the prospectus shows a 20% annual return on your investment. Great news. Even if the return is onl</w:t>
      </w:r>
      <w:r>
        <w:t>y 15%, you’re all in. So, n</w:t>
      </w:r>
      <w:r w:rsidR="00E10AD2">
        <w:t xml:space="preserve">ot only </w:t>
      </w:r>
      <w:r>
        <w:t>do you invest</w:t>
      </w:r>
      <w:r w:rsidR="00E10AD2">
        <w:t xml:space="preserve"> the $1 Million lying around</w:t>
      </w:r>
      <w:r>
        <w:t xml:space="preserve"> -- </w:t>
      </w:r>
      <w:r w:rsidR="00E10AD2">
        <w:t>you mortgage your recently paid-off and now have $2 Million to invest.</w:t>
      </w:r>
    </w:p>
    <w:p w14:paraId="2B063710" w14:textId="77777777" w:rsidR="00685A0A" w:rsidRDefault="00685A0A">
      <w:r>
        <w:t xml:space="preserve">But wait – no one told about the “mean capacity factor.” These turbines </w:t>
      </w:r>
      <w:r w:rsidR="0094171F">
        <w:t>do not produce</w:t>
      </w:r>
      <w:r>
        <w:t xml:space="preserve"> max rated energy 24 hours a da</w:t>
      </w:r>
      <w:r w:rsidR="00653FE3">
        <w:t xml:space="preserve">y. </w:t>
      </w:r>
      <w:r w:rsidR="00D53208">
        <w:t xml:space="preserve">In 2018 the average capacity factor </w:t>
      </w:r>
      <w:r w:rsidR="0017438E">
        <w:t xml:space="preserve">for California </w:t>
      </w:r>
      <w:r w:rsidR="00D53208">
        <w:t>was 28.5%</w:t>
      </w:r>
    </w:p>
    <w:p w14:paraId="287B1DE1" w14:textId="77777777" w:rsidR="00D53208" w:rsidRDefault="00E01F94">
      <w:hyperlink r:id="rId7" w:history="1">
        <w:r w:rsidR="00D53208">
          <w:rPr>
            <w:rStyle w:val="Hyperlink"/>
          </w:rPr>
          <w:t>https://www.energy.gov/sites/prod/files/2019/08/f65/2018%20Wind%20Technologies%20Market%20Report%20FINAL.pdf</w:t>
        </w:r>
      </w:hyperlink>
    </w:p>
    <w:p w14:paraId="16361C01" w14:textId="77777777" w:rsidR="00D53208" w:rsidRDefault="0094171F">
      <w:r>
        <w:t>Now the</w:t>
      </w:r>
      <w:r w:rsidR="00D53208">
        <w:t xml:space="preserve"> wind farm revenue is down to about 6.5 Million and your expected return is down from 20% to 5.7%. Maybe time</w:t>
      </w:r>
      <w:r w:rsidR="003175FE">
        <w:t xml:space="preserve"> to reconsider.</w:t>
      </w:r>
    </w:p>
    <w:p w14:paraId="34DD0EFB" w14:textId="77777777" w:rsidR="0094171F" w:rsidRDefault="0094171F">
      <w:r>
        <w:t>2 – Community/</w:t>
      </w:r>
      <w:r w:rsidR="009E0B39">
        <w:t xml:space="preserve">Property Owners/ </w:t>
      </w:r>
      <w:r>
        <w:t>Politicians</w:t>
      </w:r>
    </w:p>
    <w:p w14:paraId="14A2F1F4" w14:textId="77777777" w:rsidR="004107FB" w:rsidRDefault="009E0B39" w:rsidP="004107FB">
      <w:r>
        <w:t xml:space="preserve">These people/groups likely need </w:t>
      </w:r>
      <w:r w:rsidR="0095743B">
        <w:t>all information</w:t>
      </w:r>
      <w:r>
        <w:t xml:space="preserve"> available </w:t>
      </w:r>
      <w:r w:rsidR="0095743B">
        <w:t>concerning any potential wind farm in their community. This report will make them aware of one small but important dimension of any project – “mean cap</w:t>
      </w:r>
      <w:r w:rsidR="004107FB">
        <w:t>acity factor.”</w:t>
      </w:r>
    </w:p>
    <w:p w14:paraId="1C836B35" w14:textId="77777777" w:rsidR="004107FB" w:rsidRDefault="004107FB" w:rsidP="004107FB"/>
    <w:p w14:paraId="5EB6B71B" w14:textId="73D490C5" w:rsidR="004107FB" w:rsidRDefault="004107FB">
      <w:r>
        <w:t>My primary source of data is The U.S. Wind Turbine Database</w:t>
      </w:r>
    </w:p>
    <w:p w14:paraId="6D72E2A1" w14:textId="77777777" w:rsidR="004107FB" w:rsidRDefault="004107FB" w:rsidP="004107FB">
      <w:pPr>
        <w:rPr>
          <w:rFonts w:ascii="Open Sans Bold" w:hAnsi="Open Sans Bold"/>
          <w:color w:val="FFFFFF"/>
          <w:spacing w:val="-15"/>
        </w:rPr>
      </w:pPr>
      <w:hyperlink r:id="rId8" w:history="1">
        <w:r>
          <w:rPr>
            <w:rStyle w:val="Hyperlink"/>
          </w:rPr>
          <w:t>https://eerscmap.usgs.gov/uswtdb/data/</w:t>
        </w:r>
      </w:hyperlink>
      <w:r w:rsidRPr="004107FB">
        <w:rPr>
          <w:rFonts w:ascii="Open Sans Bold" w:hAnsi="Open Sans Bold"/>
          <w:color w:val="FFFFFF"/>
          <w:spacing w:val="-15"/>
        </w:rPr>
        <w:t xml:space="preserve">U.S. </w:t>
      </w:r>
    </w:p>
    <w:p w14:paraId="3CC2C942" w14:textId="57B558F8" w:rsidR="004107FB" w:rsidRDefault="004107FB">
      <w:r>
        <w:t xml:space="preserve">They maintain detailed information on every wind turbine in the USA + Guam+ </w:t>
      </w:r>
      <w:r w:rsidR="00BC2AC4">
        <w:t>Puerto</w:t>
      </w:r>
      <w:r>
        <w:t xml:space="preserve"> Rico</w:t>
      </w:r>
      <w:r w:rsidR="00D0061E">
        <w:t xml:space="preserve"> – all 60,577 of them. Data includes GPS coordinates, turbine max capacity, date installed, turbine manufacturer</w:t>
      </w:r>
      <w:r w:rsidR="00BC2AC4">
        <w:t>, height etc. The only thing missing is the mean capacity factor for each turbine.</w:t>
      </w:r>
    </w:p>
    <w:p w14:paraId="6323181B" w14:textId="06806378" w:rsidR="00F06D4C" w:rsidRDefault="00F06D4C">
      <w:r>
        <w:t>That can be found at Renewables.n</w:t>
      </w:r>
      <w:r w:rsidR="005B30CC">
        <w:t>i</w:t>
      </w:r>
      <w:r>
        <w:t>nja</w:t>
      </w:r>
    </w:p>
    <w:p w14:paraId="0A900839" w14:textId="395EE228" w:rsidR="00F06D4C" w:rsidRDefault="00F06D4C">
      <w:hyperlink r:id="rId9" w:history="1">
        <w:r>
          <w:rPr>
            <w:rStyle w:val="Hyperlink"/>
          </w:rPr>
          <w:t>https://www.renewables.ninja/</w:t>
        </w:r>
      </w:hyperlink>
    </w:p>
    <w:p w14:paraId="0816DC92" w14:textId="11DB08DD" w:rsidR="00F06D4C" w:rsidRDefault="00F06D4C">
      <w:r>
        <w:t xml:space="preserve">This is great site where they have put together GPS wind data and the power curve for most wind turbines by manufacturer to </w:t>
      </w:r>
      <w:r w:rsidR="0062307A">
        <w:t>derive the</w:t>
      </w:r>
      <w:r>
        <w:t xml:space="preserve"> </w:t>
      </w:r>
      <w:r w:rsidR="0062307A">
        <w:t>mean capacity</w:t>
      </w:r>
      <w:r>
        <w:t xml:space="preserve"> factor for </w:t>
      </w:r>
      <w:r w:rsidR="0062307A">
        <w:t xml:space="preserve">the </w:t>
      </w:r>
      <w:r>
        <w:t xml:space="preserve">turbine. </w:t>
      </w:r>
      <w:r w:rsidR="0062307A">
        <w:t>You enter</w:t>
      </w:r>
      <w:r>
        <w:t xml:space="preserve"> GPS </w:t>
      </w:r>
      <w:r w:rsidR="0062307A">
        <w:t>coordinates</w:t>
      </w:r>
      <w:r>
        <w:t xml:space="preserve">, </w:t>
      </w:r>
      <w:r w:rsidR="0062307A">
        <w:t>manufacturer</w:t>
      </w:r>
      <w:r>
        <w:t xml:space="preserve"> and height for a wind turbine and get the mean </w:t>
      </w:r>
      <w:r w:rsidR="0062307A">
        <w:t>capacity</w:t>
      </w:r>
      <w:r>
        <w:t xml:space="preserve"> factor</w:t>
      </w:r>
      <w:r w:rsidR="0062307A">
        <w:t xml:space="preserve">. </w:t>
      </w:r>
    </w:p>
    <w:p w14:paraId="1AEFB45E" w14:textId="7F791359" w:rsidR="0062307A" w:rsidRDefault="0062307A">
      <w:r>
        <w:t xml:space="preserve">Unfortunately, you can only enter information on one turbine at a time so adding this data </w:t>
      </w:r>
      <w:r w:rsidR="00303C3C">
        <w:t>to each</w:t>
      </w:r>
      <w:r>
        <w:t xml:space="preserve"> of the 60, 577 turbines </w:t>
      </w:r>
      <w:bookmarkStart w:id="0" w:name="_GoBack"/>
      <w:bookmarkEnd w:id="0"/>
      <w:r w:rsidR="00E01F94">
        <w:t>are a</w:t>
      </w:r>
      <w:r>
        <w:t xml:space="preserve"> full-time job, not a class project.</w:t>
      </w:r>
    </w:p>
    <w:p w14:paraId="124B0A71" w14:textId="1576E8DB" w:rsidR="0062307A" w:rsidRDefault="00303C3C">
      <w:r>
        <w:t>So,</w:t>
      </w:r>
      <w:r w:rsidR="0062307A">
        <w:t xml:space="preserve"> I am going to radically reduce the dataset</w:t>
      </w:r>
      <w:r>
        <w:t xml:space="preserve"> down to 60 turbines in California, randomly chosen -- 30 from northern California – 30 from southern California.</w:t>
      </w:r>
    </w:p>
    <w:p w14:paraId="405AB829" w14:textId="0DCFC4B8" w:rsidR="00303C3C" w:rsidRDefault="00303C3C">
      <w:r>
        <w:t>I will add the mean capacity factor from Renewables.ninja to each of the 60 turbines.</w:t>
      </w:r>
    </w:p>
    <w:p w14:paraId="76BA924B" w14:textId="6D058722" w:rsidR="00303C3C" w:rsidRDefault="00303C3C">
      <w:r>
        <w:t xml:space="preserve">My hypothesis is that </w:t>
      </w:r>
      <w:r w:rsidR="00FA07C4">
        <w:t xml:space="preserve">there is a statistically significant difference </w:t>
      </w:r>
      <w:r w:rsidR="00B211ED">
        <w:t>between mean</w:t>
      </w:r>
      <w:r>
        <w:t xml:space="preserve"> </w:t>
      </w:r>
      <w:r w:rsidR="00B211ED">
        <w:t>aggregate capacity</w:t>
      </w:r>
      <w:r>
        <w:t xml:space="preserve"> factor for the northern turbines and </w:t>
      </w:r>
      <w:r w:rsidR="00B211ED">
        <w:t>the mean</w:t>
      </w:r>
      <w:r>
        <w:t xml:space="preserve"> aggregate capacity </w:t>
      </w:r>
      <w:r>
        <w:lastRenderedPageBreak/>
        <w:t>factor for the southern turbines</w:t>
      </w:r>
      <w:r w:rsidR="00FA07C4">
        <w:t xml:space="preserve">. The null, of course, </w:t>
      </w:r>
      <w:r w:rsidR="00D72F93">
        <w:t>being</w:t>
      </w:r>
      <w:r w:rsidR="00FA07C4">
        <w:t xml:space="preserve"> that there is no difference.</w:t>
      </w:r>
    </w:p>
    <w:p w14:paraId="20A55458" w14:textId="04948CA5" w:rsidR="009E0B39" w:rsidRDefault="009E0B39"/>
    <w:p w14:paraId="3CC4CC59" w14:textId="77777777" w:rsidR="00942DC0" w:rsidRDefault="00942DC0" w:rsidP="00942DC0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Math:</w:t>
      </w:r>
    </w:p>
    <w:p w14:paraId="64E03DB5" w14:textId="77777777" w:rsidR="00942DC0" w:rsidRDefault="00942DC0" w:rsidP="00942DC0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will be using the following:</w:t>
      </w:r>
    </w:p>
    <w:p w14:paraId="09AC3E9F" w14:textId="72CB673B" w:rsidR="00942DC0" w:rsidRDefault="00942DC0" w:rsidP="00942DC0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stats. </w:t>
      </w:r>
      <w:r w:rsidR="00C20AC7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escribe</w:t>
      </w:r>
    </w:p>
    <w:p w14:paraId="5A6EA7EC" w14:textId="309B93DE" w:rsidR="00C20AC7" w:rsidRDefault="00C20AC7" w:rsidP="00942DC0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T-test</w:t>
      </w:r>
    </w:p>
    <w:p w14:paraId="65CCA153" w14:textId="71548AB2" w:rsidR="00942DC0" w:rsidRDefault="00942DC0" w:rsidP="00942DC0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QQ-plots</w:t>
      </w:r>
    </w:p>
    <w:p w14:paraId="7655D467" w14:textId="77777777" w:rsidR="00942DC0" w:rsidRDefault="00942DC0" w:rsidP="00942DC0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Shapiro-Wilk</w:t>
      </w:r>
    </w:p>
    <w:p w14:paraId="630982BA" w14:textId="6118D2D4" w:rsidR="00942DC0" w:rsidRPr="00180F02" w:rsidRDefault="00942DC0" w:rsidP="00942DC0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Histograms</w:t>
      </w:r>
    </w:p>
    <w:p w14:paraId="7EE8F701" w14:textId="77777777" w:rsidR="00942DC0" w:rsidRDefault="00942DC0" w:rsidP="00942DC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51E44200" w14:textId="77777777" w:rsidR="00942DC0" w:rsidRDefault="00942DC0"/>
    <w:p w14:paraId="01A1898A" w14:textId="77777777" w:rsidR="0094171F" w:rsidRDefault="0094171F"/>
    <w:p w14:paraId="2D26373E" w14:textId="77777777" w:rsidR="00C25E84" w:rsidRDefault="00C25E84"/>
    <w:p w14:paraId="2E2223A3" w14:textId="77777777" w:rsidR="00B201C4" w:rsidRDefault="00B201C4"/>
    <w:p w14:paraId="6EBDE896" w14:textId="77777777" w:rsidR="00B201C4" w:rsidRDefault="00B201C4"/>
    <w:sectPr w:rsidR="00B2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Bol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C4"/>
    <w:rsid w:val="00005868"/>
    <w:rsid w:val="00131F51"/>
    <w:rsid w:val="0017438E"/>
    <w:rsid w:val="00303C3C"/>
    <w:rsid w:val="003175FE"/>
    <w:rsid w:val="004107FB"/>
    <w:rsid w:val="004A3022"/>
    <w:rsid w:val="005B30CC"/>
    <w:rsid w:val="0062307A"/>
    <w:rsid w:val="00653FE3"/>
    <w:rsid w:val="00685A0A"/>
    <w:rsid w:val="006E4AD5"/>
    <w:rsid w:val="00747EB9"/>
    <w:rsid w:val="0094171F"/>
    <w:rsid w:val="00942DC0"/>
    <w:rsid w:val="0095743B"/>
    <w:rsid w:val="009E0B39"/>
    <w:rsid w:val="00A12A7B"/>
    <w:rsid w:val="00B201C4"/>
    <w:rsid w:val="00B211ED"/>
    <w:rsid w:val="00B66E67"/>
    <w:rsid w:val="00B70A6F"/>
    <w:rsid w:val="00BC2AC4"/>
    <w:rsid w:val="00BE154F"/>
    <w:rsid w:val="00C20AC7"/>
    <w:rsid w:val="00C25E84"/>
    <w:rsid w:val="00D0061E"/>
    <w:rsid w:val="00D53208"/>
    <w:rsid w:val="00D72F93"/>
    <w:rsid w:val="00E01F94"/>
    <w:rsid w:val="00E10AD2"/>
    <w:rsid w:val="00EC67C6"/>
    <w:rsid w:val="00F06D4C"/>
    <w:rsid w:val="00F87798"/>
    <w:rsid w:val="00FA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DA3A"/>
  <w15:chartTrackingRefBased/>
  <w15:docId w15:val="{D138474E-74BA-4F20-B893-E1852CAF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7F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7C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07FB"/>
    <w:rPr>
      <w:rFonts w:eastAsia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7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7F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2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2D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erscmap.usgs.gov/uswtdb/dat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nergy.gov/sites/prod/files/2019/08/f65/2018%20Wind%20Technologies%20Market%20Report%20FINAL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nergyonline.com/Data/GenericData.aspx?DataId=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industry.org/how_much_do_wind_turbines_cos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nelgreenpower.com/media/news/d/2019/07/bloomberg-new-energy-outlook-2019" TargetMode="External"/><Relationship Id="rId9" Type="http://schemas.openxmlformats.org/officeDocument/2006/relationships/hyperlink" Target="https://www.renewables.ninj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32</cp:revision>
  <dcterms:created xsi:type="dcterms:W3CDTF">2020-01-12T20:24:00Z</dcterms:created>
  <dcterms:modified xsi:type="dcterms:W3CDTF">2020-01-13T04:59:00Z</dcterms:modified>
</cp:coreProperties>
</file>