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BA2BE" w14:textId="66F2B928" w:rsidR="00D471F0" w:rsidRDefault="0020611E">
      <w:r>
        <w:t xml:space="preserve">We all have an interest in public safety and have created governmental agencies to </w:t>
      </w:r>
      <w:r w:rsidR="00B62B88">
        <w:t>act on</w:t>
      </w:r>
      <w:r>
        <w:t xml:space="preserve"> our behalf – airline safety (FAA) --- foo</w:t>
      </w:r>
      <w:r w:rsidR="00822848">
        <w:t>d</w:t>
      </w:r>
      <w:r>
        <w:t xml:space="preserve"> and drug </w:t>
      </w:r>
      <w:r w:rsidR="00822848">
        <w:t>safety</w:t>
      </w:r>
      <w:r>
        <w:t xml:space="preserve"> (FDA) – </w:t>
      </w:r>
      <w:r w:rsidR="00822848">
        <w:t>highway</w:t>
      </w:r>
      <w:r>
        <w:t xml:space="preserve"> </w:t>
      </w:r>
      <w:r w:rsidR="00822848">
        <w:t>safety</w:t>
      </w:r>
      <w:r>
        <w:t xml:space="preserve"> (DOT</w:t>
      </w:r>
      <w:r w:rsidR="00822848">
        <w:t>/FHSA</w:t>
      </w:r>
      <w:r>
        <w:t>). B</w:t>
      </w:r>
      <w:r w:rsidR="00857FD6">
        <w:t>rid</w:t>
      </w:r>
      <w:r>
        <w:t>ge safety (</w:t>
      </w:r>
      <w:r w:rsidR="00386EFE">
        <w:t>BTS/FHA</w:t>
      </w:r>
      <w:r>
        <w:t xml:space="preserve">).  And yet most of us never think about </w:t>
      </w:r>
      <w:r w:rsidR="00822848">
        <w:t>bridge</w:t>
      </w:r>
      <w:r>
        <w:t xml:space="preserve"> safety until there is a disaster such as the Florida bridge </w:t>
      </w:r>
      <w:r w:rsidR="00822848">
        <w:t>collapse in</w:t>
      </w:r>
      <w:r>
        <w:t xml:space="preserve"> 2018</w:t>
      </w:r>
      <w:r w:rsidR="00822848">
        <w:t xml:space="preserve"> </w:t>
      </w:r>
      <w:r>
        <w:t>that killed six (</w:t>
      </w:r>
      <w:hyperlink r:id="rId6" w:history="1">
        <w:r>
          <w:rPr>
            <w:rStyle w:val="Hyperlink"/>
          </w:rPr>
          <w:t>https://www.usatoday.com/story/news/2018/11/15/ntsb-miami-bridge-collapse-design-errors/2012020002/</w:t>
        </w:r>
      </w:hyperlink>
      <w:r>
        <w:t xml:space="preserve">) or the Silver Bridge collapse </w:t>
      </w:r>
      <w:r w:rsidR="00822848">
        <w:t xml:space="preserve">in Ohio </w:t>
      </w:r>
      <w:r>
        <w:t>(1967) that killed 46  (</w:t>
      </w:r>
      <w:hyperlink r:id="rId7" w:history="1">
        <w:r>
          <w:rPr>
            <w:rStyle w:val="Hyperlink"/>
          </w:rPr>
          <w:t>https://en.wikipedia.org/wiki/Silver_Bridge</w:t>
        </w:r>
      </w:hyperlink>
      <w:r>
        <w:t xml:space="preserve">). </w:t>
      </w:r>
      <w:r w:rsidR="00283870">
        <w:t>The National Bridge Inventory maintained by the FHA lists</w:t>
      </w:r>
      <w:r w:rsidR="00786B74">
        <w:t xml:space="preserve"> 616,087 </w:t>
      </w:r>
      <w:r w:rsidR="00822848">
        <w:t>bridges</w:t>
      </w:r>
      <w:r w:rsidR="00786B74">
        <w:t xml:space="preserve">. </w:t>
      </w:r>
      <w:r w:rsidR="00EA4918">
        <w:t xml:space="preserve">7.63% </w:t>
      </w:r>
      <w:r w:rsidR="00C901BE">
        <w:t>are rated</w:t>
      </w:r>
      <w:r w:rsidR="00EA4918">
        <w:t xml:space="preserve"> “structurally </w:t>
      </w:r>
      <w:r w:rsidR="002B72D2">
        <w:t>deficient</w:t>
      </w:r>
      <w:r w:rsidR="00EA4918">
        <w:t>.” (47052/616087) and need urgent repairs.</w:t>
      </w:r>
      <w:r w:rsidR="009E2407">
        <w:t xml:space="preserve">  </w:t>
      </w:r>
      <w:r w:rsidR="00D471F0">
        <w:t xml:space="preserve"> Estimated cost to complete all needed bridge work is $171 Billion. </w:t>
      </w:r>
      <w:hyperlink r:id="rId8" w:history="1">
        <w:r w:rsidR="00045B80" w:rsidRPr="009979D5">
          <w:rPr>
            <w:rStyle w:val="Hyperlink"/>
          </w:rPr>
          <w:t>https://artbabridgereport.org/</w:t>
        </w:r>
      </w:hyperlink>
    </w:p>
    <w:p w14:paraId="7D6009FB" w14:textId="22A49B89" w:rsidR="002B778D" w:rsidRDefault="00786B74">
      <w:r>
        <w:t>Americans cross these deficient bridges 178 million times a day</w:t>
      </w:r>
      <w:r w:rsidR="00D471F0">
        <w:t>.</w:t>
      </w:r>
      <w:r>
        <w:t xml:space="preserve"> (</w:t>
      </w:r>
      <w:hyperlink r:id="rId9" w:history="1">
        <w:r>
          <w:rPr>
            <w:rStyle w:val="Hyperlink"/>
          </w:rPr>
          <w:t>https://artbabridgereport.org/reports/2019-ARTBA-Bridge-Report.pdf</w:t>
        </w:r>
      </w:hyperlink>
      <w:r>
        <w:t>).</w:t>
      </w:r>
    </w:p>
    <w:p w14:paraId="4487B51B" w14:textId="0380874F" w:rsidR="002400C2" w:rsidRDefault="002400C2">
      <w:r>
        <w:t>The FHA (</w:t>
      </w:r>
      <w:r w:rsidR="00B74971">
        <w:t>F</w:t>
      </w:r>
      <w:r>
        <w:t>ederal Highway</w:t>
      </w:r>
      <w:r w:rsidR="00DF118C">
        <w:t xml:space="preserve"> Administration</w:t>
      </w:r>
      <w:r>
        <w:t xml:space="preserve">) </w:t>
      </w:r>
      <w:r w:rsidR="00DF118C">
        <w:t>National</w:t>
      </w:r>
      <w:r>
        <w:t xml:space="preserve"> Bridge</w:t>
      </w:r>
      <w:r w:rsidR="00DF118C">
        <w:t xml:space="preserve"> Inventory</w:t>
      </w:r>
      <w:r>
        <w:t xml:space="preserve"> is </w:t>
      </w:r>
      <w:r w:rsidR="00DF118C">
        <w:t>huge</w:t>
      </w:r>
      <w:r w:rsidR="00B74971">
        <w:t>:</w:t>
      </w:r>
    </w:p>
    <w:p w14:paraId="02F7465F" w14:textId="6771FD29" w:rsidR="002400C2" w:rsidRDefault="002400C2">
      <w:r>
        <w:t>Over 600,000 rows</w:t>
      </w:r>
    </w:p>
    <w:p w14:paraId="1B0A0602" w14:textId="2FAFED58" w:rsidR="002400C2" w:rsidRDefault="002400C2">
      <w:r>
        <w:t>Over 100 attributes</w:t>
      </w:r>
    </w:p>
    <w:p w14:paraId="0B310524" w14:textId="7E6FDAD5" w:rsidR="0004043C" w:rsidRDefault="0004043C">
      <w:r>
        <w:t>Most attributes ha</w:t>
      </w:r>
      <w:r w:rsidR="00615EE2">
        <w:t>ve</w:t>
      </w:r>
      <w:r>
        <w:t xml:space="preserve"> several </w:t>
      </w:r>
      <w:r w:rsidR="00615EE2">
        <w:t>codes</w:t>
      </w:r>
      <w:r>
        <w:t>.</w:t>
      </w:r>
    </w:p>
    <w:p w14:paraId="0FD0B2DD" w14:textId="0174DC22" w:rsidR="00F000E4" w:rsidRDefault="00B62B88">
      <w:r>
        <w:t>As you can see, there are a lot of bridges and a lot of data. Most reports are like the one mentioned above where they tell you how many or what percentage</w:t>
      </w:r>
      <w:r w:rsidR="00536FEA">
        <w:t xml:space="preserve"> and may give a simple prioritization to the bridges. </w:t>
      </w:r>
      <w:r>
        <w:t xml:space="preserve"> I </w:t>
      </w:r>
      <w:r w:rsidR="00536FEA">
        <w:t xml:space="preserve">will </w:t>
      </w:r>
      <w:r w:rsidR="00445197">
        <w:t>survey</w:t>
      </w:r>
      <w:r w:rsidR="00536FEA">
        <w:t xml:space="preserve"> </w:t>
      </w:r>
      <w:r>
        <w:t xml:space="preserve">this data and apply several statistical tests to better understand the true state of our bridges. In particular, I would like to </w:t>
      </w:r>
      <w:r w:rsidR="00CB2C36">
        <w:t>rank</w:t>
      </w:r>
      <w:r>
        <w:t xml:space="preserve"> </w:t>
      </w:r>
      <w:r w:rsidR="00C901BE">
        <w:t>the bridges</w:t>
      </w:r>
      <w:r>
        <w:t xml:space="preserve"> that </w:t>
      </w:r>
      <w:r w:rsidR="00F000E4">
        <w:t xml:space="preserve">are ‘structurally deficient’ </w:t>
      </w:r>
      <w:r>
        <w:t xml:space="preserve">because funding will </w:t>
      </w:r>
      <w:r w:rsidR="002B72D2">
        <w:t xml:space="preserve">not </w:t>
      </w:r>
      <w:r>
        <w:t>arrive</w:t>
      </w:r>
      <w:r w:rsidR="002B72D2">
        <w:t xml:space="preserve"> in time to fix</w:t>
      </w:r>
      <w:r w:rsidR="006C001A">
        <w:t xml:space="preserve"> them all at once</w:t>
      </w:r>
      <w:r w:rsidR="002B72D2">
        <w:t xml:space="preserve">. </w:t>
      </w:r>
      <w:r w:rsidR="00B4745C">
        <w:t xml:space="preserve"> In other words, </w:t>
      </w:r>
      <w:r w:rsidR="00E11234">
        <w:t xml:space="preserve">a more granular </w:t>
      </w:r>
      <w:r w:rsidR="00B4745C">
        <w:t>prioritization is needed.</w:t>
      </w:r>
    </w:p>
    <w:p w14:paraId="660B1FB7" w14:textId="3C0CD083" w:rsidR="00F000E4" w:rsidRDefault="00F000E4">
      <w:r>
        <w:t>So, how does a bridge get rated as “structurally deficient?”</w:t>
      </w:r>
    </w:p>
    <w:p w14:paraId="79437F05" w14:textId="00F03F84" w:rsidR="00F000E4" w:rsidRDefault="00B4745C" w:rsidP="00F000E4">
      <w:r>
        <w:t xml:space="preserve"> </w:t>
      </w:r>
      <w:r w:rsidR="00F000E4">
        <w:t>“</w:t>
      </w:r>
      <w:r w:rsidR="00335E5C">
        <w:t>Structurally deficient” is based on</w:t>
      </w:r>
      <w:r w:rsidR="00F000E4">
        <w:t xml:space="preserve"> </w:t>
      </w:r>
      <w:r w:rsidR="00F000E4">
        <w:rPr>
          <w:rFonts w:cs="Times New Roman"/>
          <w:szCs w:val="28"/>
        </w:rPr>
        <w:t xml:space="preserve">primary </w:t>
      </w:r>
      <w:r w:rsidR="00F000E4" w:rsidRPr="0019175E">
        <w:rPr>
          <w:rFonts w:cs="Times New Roman"/>
          <w:b/>
          <w:bCs/>
          <w:szCs w:val="28"/>
        </w:rPr>
        <w:t>CONDITION</w:t>
      </w:r>
      <w:r w:rsidR="00F000E4" w:rsidRPr="00C966E5">
        <w:rPr>
          <w:rFonts w:cs="Times New Roman"/>
          <w:b/>
          <w:bCs/>
          <w:szCs w:val="28"/>
        </w:rPr>
        <w:t xml:space="preserve"> RATINGS</w:t>
      </w:r>
      <w:r w:rsidR="00F000E4">
        <w:rPr>
          <w:rFonts w:cs="Times New Roman"/>
          <w:szCs w:val="28"/>
        </w:rPr>
        <w:t>:</w:t>
      </w:r>
      <w:r w:rsidR="00F000E4" w:rsidRPr="00C966E5">
        <w:rPr>
          <w:rFonts w:cs="Times New Roman"/>
          <w:b/>
          <w:bCs/>
          <w:color w:val="000066"/>
          <w:szCs w:val="28"/>
        </w:rPr>
        <w:t xml:space="preserve"> </w:t>
      </w:r>
      <w:r w:rsidR="00F000E4">
        <w:rPr>
          <w:rFonts w:cs="Times New Roman"/>
          <w:b/>
          <w:bCs/>
          <w:color w:val="000066"/>
          <w:szCs w:val="28"/>
        </w:rPr>
        <w:t xml:space="preserve"> </w:t>
      </w:r>
      <w:r w:rsidR="00F000E4" w:rsidRPr="00C966E5">
        <w:rPr>
          <w:rFonts w:cs="Times New Roman"/>
          <w:b/>
          <w:bCs/>
          <w:color w:val="000066"/>
          <w:szCs w:val="28"/>
        </w:rPr>
        <w:t>Deck, Superstructure, Substructure</w:t>
      </w:r>
      <w:r w:rsidR="00F000E4">
        <w:rPr>
          <w:rFonts w:cs="Times New Roman"/>
          <w:b/>
          <w:bCs/>
          <w:color w:val="000066"/>
          <w:szCs w:val="28"/>
        </w:rPr>
        <w:t xml:space="preserve"> – </w:t>
      </w:r>
      <w:r w:rsidR="00F000E4" w:rsidRPr="001D7378">
        <w:rPr>
          <w:rFonts w:cs="Times New Roman"/>
          <w:color w:val="000066"/>
          <w:szCs w:val="28"/>
        </w:rPr>
        <w:t>used to evaluate every bridge</w:t>
      </w:r>
      <w:r w:rsidR="00F000E4">
        <w:rPr>
          <w:rFonts w:cs="Times New Roman"/>
          <w:color w:val="000066"/>
          <w:szCs w:val="28"/>
        </w:rPr>
        <w:t>.</w:t>
      </w:r>
    </w:p>
    <w:p w14:paraId="359B30C0" w14:textId="2FC74807" w:rsidR="00E11234" w:rsidRPr="00735219" w:rsidRDefault="00E11234" w:rsidP="00C966E5">
      <w:pPr>
        <w:pStyle w:val="HTMLPreformatted"/>
        <w:rPr>
          <w:rFonts w:ascii="Times New Roman" w:hAnsi="Times New Roman" w:cs="Times New Roman"/>
          <w:sz w:val="28"/>
          <w:szCs w:val="28"/>
        </w:rPr>
      </w:pPr>
      <w:r w:rsidRPr="00735219">
        <w:rPr>
          <w:rFonts w:ascii="Times New Roman" w:hAnsi="Times New Roman" w:cs="Times New Roman"/>
          <w:sz w:val="28"/>
          <w:szCs w:val="28"/>
        </w:rPr>
        <w:t xml:space="preserve">Labeling a bridge as “structurally deficient” is the result of getting a low rating on just one of the conditions – though you may get a low rating </w:t>
      </w:r>
      <w:r w:rsidR="008B53B8" w:rsidRPr="00735219">
        <w:rPr>
          <w:rFonts w:ascii="Times New Roman" w:hAnsi="Times New Roman" w:cs="Times New Roman"/>
          <w:sz w:val="28"/>
          <w:szCs w:val="28"/>
        </w:rPr>
        <w:t>on more</w:t>
      </w:r>
      <w:r w:rsidRPr="00735219">
        <w:rPr>
          <w:rFonts w:ascii="Times New Roman" w:hAnsi="Times New Roman" w:cs="Times New Roman"/>
          <w:sz w:val="28"/>
          <w:szCs w:val="28"/>
        </w:rPr>
        <w:t xml:space="preserve"> than one.</w:t>
      </w:r>
    </w:p>
    <w:p w14:paraId="22B03938" w14:textId="5D8FE53F" w:rsidR="00E11234" w:rsidRPr="00735219" w:rsidRDefault="00E11234" w:rsidP="00C966E5">
      <w:pPr>
        <w:pStyle w:val="HTMLPreformatted"/>
        <w:rPr>
          <w:rFonts w:ascii="Times New Roman" w:hAnsi="Times New Roman" w:cs="Times New Roman"/>
          <w:sz w:val="28"/>
          <w:szCs w:val="28"/>
        </w:rPr>
      </w:pPr>
    </w:p>
    <w:p w14:paraId="65307DFF" w14:textId="50F7EC5C" w:rsidR="000D7429" w:rsidRDefault="00E11234" w:rsidP="00C966E5">
      <w:pPr>
        <w:pStyle w:val="HTMLPreformatted"/>
        <w:rPr>
          <w:rFonts w:ascii="Times New Roman" w:hAnsi="Times New Roman" w:cs="Times New Roman"/>
          <w:sz w:val="28"/>
          <w:szCs w:val="28"/>
        </w:rPr>
      </w:pPr>
      <w:r w:rsidRPr="00735219">
        <w:rPr>
          <w:rFonts w:ascii="Times New Roman" w:hAnsi="Times New Roman" w:cs="Times New Roman"/>
          <w:sz w:val="28"/>
          <w:szCs w:val="28"/>
        </w:rPr>
        <w:t xml:space="preserve">The </w:t>
      </w:r>
      <w:r w:rsidR="00F000E4" w:rsidRPr="00F000E4">
        <w:rPr>
          <w:rFonts w:ascii="Times New Roman" w:hAnsi="Times New Roman" w:cs="Times New Roman"/>
          <w:b/>
          <w:bCs/>
          <w:sz w:val="28"/>
          <w:szCs w:val="28"/>
        </w:rPr>
        <w:t>DESIGN LOAD</w:t>
      </w:r>
      <w:r w:rsidR="00F000E4" w:rsidRPr="00735219">
        <w:rPr>
          <w:rFonts w:ascii="Times New Roman" w:hAnsi="Times New Roman" w:cs="Times New Roman"/>
          <w:sz w:val="28"/>
          <w:szCs w:val="28"/>
        </w:rPr>
        <w:t xml:space="preserve"> </w:t>
      </w:r>
      <w:r w:rsidRPr="00735219">
        <w:rPr>
          <w:rFonts w:ascii="Times New Roman" w:hAnsi="Times New Roman" w:cs="Times New Roman"/>
          <w:sz w:val="28"/>
          <w:szCs w:val="28"/>
        </w:rPr>
        <w:t>is an abstract number. It is a max load based on the design, the “as-built” condition as opposed to the “live” (in-use) condition ratings. The codebook states the</w:t>
      </w:r>
      <w:r w:rsidR="00735219" w:rsidRPr="00735219">
        <w:rPr>
          <w:rFonts w:ascii="Times New Roman" w:hAnsi="Times New Roman" w:cs="Times New Roman"/>
          <w:sz w:val="28"/>
          <w:szCs w:val="28"/>
        </w:rPr>
        <w:t xml:space="preserve"> f</w:t>
      </w:r>
      <w:r w:rsidRPr="00735219">
        <w:rPr>
          <w:rFonts w:ascii="Times New Roman" w:hAnsi="Times New Roman" w:cs="Times New Roman"/>
          <w:sz w:val="28"/>
          <w:szCs w:val="28"/>
        </w:rPr>
        <w:t xml:space="preserve">ollowing about the relationship between the Design Load and </w:t>
      </w:r>
      <w:r w:rsidRPr="00735219">
        <w:rPr>
          <w:rFonts w:ascii="Times New Roman" w:hAnsi="Times New Roman" w:cs="Times New Roman"/>
          <w:sz w:val="28"/>
          <w:szCs w:val="28"/>
        </w:rPr>
        <w:lastRenderedPageBreak/>
        <w:t xml:space="preserve">Condition Ratings: </w:t>
      </w:r>
      <w:r w:rsidR="007B3BD6">
        <w:rPr>
          <w:rFonts w:ascii="Times New Roman" w:hAnsi="Times New Roman" w:cs="Times New Roman"/>
          <w:sz w:val="28"/>
          <w:szCs w:val="28"/>
        </w:rPr>
        <w:t>“Condition</w:t>
      </w:r>
      <w:r w:rsidR="00CB4197" w:rsidRPr="00CB4197">
        <w:rPr>
          <w:rFonts w:ascii="Times New Roman" w:hAnsi="Times New Roman" w:cs="Times New Roman"/>
          <w:sz w:val="28"/>
          <w:szCs w:val="28"/>
        </w:rPr>
        <w:t xml:space="preserve"> ratings are used to describe the existing, in-place bridge as compared to the as-built condition</w:t>
      </w:r>
      <w:r w:rsidR="00CB4197">
        <w:rPr>
          <w:rFonts w:ascii="Times New Roman" w:hAnsi="Times New Roman" w:cs="Times New Roman"/>
          <w:sz w:val="28"/>
          <w:szCs w:val="28"/>
        </w:rPr>
        <w:t xml:space="preserve"> … </w:t>
      </w:r>
      <w:r w:rsidR="00A91501">
        <w:rPr>
          <w:rFonts w:ascii="Times New Roman" w:hAnsi="Times New Roman" w:cs="Times New Roman"/>
          <w:sz w:val="28"/>
          <w:szCs w:val="28"/>
        </w:rPr>
        <w:t>The load carrying capacity will not be used when evaluating condition items.</w:t>
      </w:r>
      <w:r w:rsidR="007B3BD6" w:rsidRPr="007B3BD6">
        <w:rPr>
          <w:rFonts w:ascii="Times New Roman" w:hAnsi="Times New Roman" w:cs="Times New Roman"/>
          <w:sz w:val="28"/>
          <w:szCs w:val="28"/>
        </w:rPr>
        <w:t xml:space="preserve"> The fact that a bridge was designed for less than current legal loads and may be posted shall have no influence upon condition ratings.</w:t>
      </w:r>
      <w:r w:rsidR="00A91501">
        <w:rPr>
          <w:rFonts w:ascii="Times New Roman" w:hAnsi="Times New Roman" w:cs="Times New Roman"/>
          <w:sz w:val="28"/>
          <w:szCs w:val="28"/>
        </w:rPr>
        <w:t>”</w:t>
      </w:r>
      <w:r w:rsidR="008B47E4">
        <w:rPr>
          <w:rFonts w:ascii="Times New Roman" w:hAnsi="Times New Roman" w:cs="Times New Roman"/>
          <w:sz w:val="28"/>
          <w:szCs w:val="28"/>
        </w:rPr>
        <w:t xml:space="preserve"> </w:t>
      </w:r>
      <w:r w:rsidR="007D3D9C">
        <w:rPr>
          <w:rFonts w:ascii="Times New Roman" w:hAnsi="Times New Roman" w:cs="Times New Roman"/>
          <w:sz w:val="28"/>
          <w:szCs w:val="28"/>
        </w:rPr>
        <w:t xml:space="preserve"> </w:t>
      </w:r>
    </w:p>
    <w:p w14:paraId="52336601" w14:textId="18DD1360" w:rsidR="007D3D9C" w:rsidRDefault="007D3D9C" w:rsidP="00C966E5">
      <w:pPr>
        <w:pStyle w:val="HTMLPreformatted"/>
        <w:rPr>
          <w:rFonts w:ascii="Times New Roman" w:hAnsi="Times New Roman" w:cs="Times New Roman"/>
          <w:sz w:val="28"/>
          <w:szCs w:val="28"/>
        </w:rPr>
      </w:pPr>
    </w:p>
    <w:p w14:paraId="743D09A3" w14:textId="5D68A564" w:rsidR="007D3D9C" w:rsidRDefault="007D3D9C" w:rsidP="00C966E5">
      <w:pPr>
        <w:pStyle w:val="HTMLPreformatted"/>
        <w:rPr>
          <w:rFonts w:ascii="Times New Roman" w:hAnsi="Times New Roman" w:cs="Times New Roman"/>
          <w:sz w:val="28"/>
          <w:szCs w:val="28"/>
        </w:rPr>
      </w:pPr>
      <w:r>
        <w:rPr>
          <w:rFonts w:ascii="Times New Roman" w:hAnsi="Times New Roman" w:cs="Times New Roman"/>
          <w:sz w:val="28"/>
          <w:szCs w:val="28"/>
        </w:rPr>
        <w:t>In other words, there should be no relationship between the Design Load and the Condition Ratings.</w:t>
      </w:r>
      <w:r w:rsidR="0001513A">
        <w:rPr>
          <w:rFonts w:ascii="Times New Roman" w:hAnsi="Times New Roman" w:cs="Times New Roman"/>
          <w:sz w:val="28"/>
          <w:szCs w:val="28"/>
        </w:rPr>
        <w:t xml:space="preserve"> But is this true? If it is, great. If it isn’t, then it needs to be factored into the ratings and may impact the ultimate rating and change your repair rankings.</w:t>
      </w:r>
    </w:p>
    <w:p w14:paraId="154159A8" w14:textId="16F8481B" w:rsidR="000D7429" w:rsidRDefault="000D7429" w:rsidP="00C966E5">
      <w:pPr>
        <w:pStyle w:val="HTMLPreformatted"/>
        <w:rPr>
          <w:rFonts w:ascii="Times New Roman" w:hAnsi="Times New Roman" w:cs="Times New Roman"/>
          <w:sz w:val="28"/>
          <w:szCs w:val="28"/>
        </w:rPr>
      </w:pPr>
    </w:p>
    <w:p w14:paraId="1AD0A4FE" w14:textId="7B44AA40" w:rsidR="00003F50" w:rsidRDefault="008B53B8" w:rsidP="008B53B8">
      <w:pPr>
        <w:pStyle w:val="HTMLPreformatted"/>
        <w:rPr>
          <w:rFonts w:ascii="Times New Roman" w:hAnsi="Times New Roman" w:cs="Times New Roman"/>
          <w:sz w:val="28"/>
          <w:szCs w:val="28"/>
        </w:rPr>
      </w:pPr>
      <w:r w:rsidRPr="00C966E5">
        <w:rPr>
          <w:rFonts w:ascii="Times New Roman" w:hAnsi="Times New Roman" w:cs="Times New Roman"/>
          <w:sz w:val="28"/>
          <w:szCs w:val="28"/>
        </w:rPr>
        <w:t>My hypothesis is tha</w:t>
      </w:r>
      <w:r w:rsidR="00003F50">
        <w:rPr>
          <w:rFonts w:ascii="Times New Roman" w:hAnsi="Times New Roman" w:cs="Times New Roman"/>
          <w:sz w:val="28"/>
          <w:szCs w:val="28"/>
        </w:rPr>
        <w:t xml:space="preserve">t dividing up the data by Design Load will produce Condition Ratings means that are statistically different than the </w:t>
      </w:r>
      <w:r w:rsidR="000F64D5">
        <w:rPr>
          <w:rFonts w:ascii="Times New Roman" w:hAnsi="Times New Roman" w:cs="Times New Roman"/>
          <w:sz w:val="28"/>
          <w:szCs w:val="28"/>
        </w:rPr>
        <w:t xml:space="preserve">population Condition </w:t>
      </w:r>
      <w:r w:rsidR="007511FC">
        <w:rPr>
          <w:rFonts w:ascii="Times New Roman" w:hAnsi="Times New Roman" w:cs="Times New Roman"/>
          <w:sz w:val="28"/>
          <w:szCs w:val="28"/>
        </w:rPr>
        <w:t>Rating means</w:t>
      </w:r>
      <w:r w:rsidR="000F64D5">
        <w:rPr>
          <w:rFonts w:ascii="Times New Roman" w:hAnsi="Times New Roman" w:cs="Times New Roman"/>
          <w:sz w:val="28"/>
          <w:szCs w:val="28"/>
        </w:rPr>
        <w:t>.</w:t>
      </w:r>
      <w:r w:rsidR="00964716">
        <w:rPr>
          <w:rFonts w:ascii="Times New Roman" w:hAnsi="Times New Roman" w:cs="Times New Roman"/>
          <w:sz w:val="28"/>
          <w:szCs w:val="28"/>
        </w:rPr>
        <w:t xml:space="preserve"> In other words, the Design Load does matter and should be factored into the ratings.</w:t>
      </w:r>
    </w:p>
    <w:p w14:paraId="2EA4E9A8" w14:textId="07A490AD" w:rsidR="00003F50" w:rsidRDefault="00003F50" w:rsidP="008B53B8">
      <w:pPr>
        <w:pStyle w:val="HTMLPreformatted"/>
        <w:rPr>
          <w:rFonts w:ascii="Times New Roman" w:hAnsi="Times New Roman" w:cs="Times New Roman"/>
          <w:sz w:val="28"/>
          <w:szCs w:val="28"/>
        </w:rPr>
      </w:pPr>
    </w:p>
    <w:p w14:paraId="4F4EEAA1" w14:textId="02C1E49E" w:rsidR="00003F50" w:rsidRDefault="00003F50" w:rsidP="008B53B8">
      <w:pPr>
        <w:pStyle w:val="HTMLPreformatted"/>
        <w:rPr>
          <w:rFonts w:ascii="Times New Roman" w:hAnsi="Times New Roman" w:cs="Times New Roman"/>
          <w:sz w:val="28"/>
          <w:szCs w:val="28"/>
        </w:rPr>
      </w:pPr>
      <w:r>
        <w:rPr>
          <w:rFonts w:ascii="Times New Roman" w:hAnsi="Times New Roman" w:cs="Times New Roman"/>
          <w:sz w:val="28"/>
          <w:szCs w:val="28"/>
        </w:rPr>
        <w:t>Math:</w:t>
      </w:r>
    </w:p>
    <w:p w14:paraId="636C2B0F" w14:textId="34DBD2A2" w:rsidR="00003F50" w:rsidRDefault="00003F50" w:rsidP="008B53B8">
      <w:pPr>
        <w:pStyle w:val="HTMLPreformatted"/>
        <w:rPr>
          <w:rFonts w:ascii="Times New Roman" w:hAnsi="Times New Roman" w:cs="Times New Roman"/>
          <w:sz w:val="28"/>
          <w:szCs w:val="28"/>
        </w:rPr>
      </w:pPr>
      <w:r>
        <w:rPr>
          <w:rFonts w:ascii="Times New Roman" w:hAnsi="Times New Roman" w:cs="Times New Roman"/>
          <w:sz w:val="28"/>
          <w:szCs w:val="28"/>
        </w:rPr>
        <w:t>I will be using</w:t>
      </w:r>
      <w:bookmarkStart w:id="0" w:name="_GoBack"/>
      <w:bookmarkEnd w:id="0"/>
      <w:r>
        <w:rPr>
          <w:rFonts w:ascii="Times New Roman" w:hAnsi="Times New Roman" w:cs="Times New Roman"/>
          <w:sz w:val="28"/>
          <w:szCs w:val="28"/>
        </w:rPr>
        <w:t xml:space="preserve"> the following:</w:t>
      </w:r>
    </w:p>
    <w:p w14:paraId="0B0620DD" w14:textId="034D90BA" w:rsidR="00003F50" w:rsidRDefault="007511FC" w:rsidP="008B53B8">
      <w:pPr>
        <w:pStyle w:val="HTMLPreformatted"/>
        <w:rPr>
          <w:rFonts w:ascii="Times New Roman" w:hAnsi="Times New Roman" w:cs="Times New Roman"/>
          <w:sz w:val="28"/>
          <w:szCs w:val="28"/>
        </w:rPr>
      </w:pPr>
      <w:r>
        <w:rPr>
          <w:rFonts w:ascii="Times New Roman" w:hAnsi="Times New Roman" w:cs="Times New Roman"/>
          <w:sz w:val="28"/>
          <w:szCs w:val="28"/>
        </w:rPr>
        <w:t>stats. Describe</w:t>
      </w:r>
    </w:p>
    <w:p w14:paraId="4535AAA7" w14:textId="6D66840D" w:rsidR="00003F50" w:rsidRDefault="00003F50" w:rsidP="008B53B8">
      <w:pPr>
        <w:pStyle w:val="HTMLPreformatted"/>
        <w:rPr>
          <w:rFonts w:ascii="Times New Roman" w:hAnsi="Times New Roman" w:cs="Times New Roman"/>
          <w:sz w:val="28"/>
          <w:szCs w:val="28"/>
        </w:rPr>
      </w:pPr>
      <w:r>
        <w:rPr>
          <w:rFonts w:ascii="Times New Roman" w:hAnsi="Times New Roman" w:cs="Times New Roman"/>
          <w:sz w:val="28"/>
          <w:szCs w:val="28"/>
        </w:rPr>
        <w:t>QQ-plots</w:t>
      </w:r>
    </w:p>
    <w:p w14:paraId="10E4CAAE" w14:textId="14D0E893" w:rsidR="00003F50" w:rsidRDefault="00003F50" w:rsidP="008B53B8">
      <w:pPr>
        <w:pStyle w:val="HTMLPreformatted"/>
        <w:rPr>
          <w:rFonts w:ascii="Times New Roman" w:hAnsi="Times New Roman" w:cs="Times New Roman"/>
          <w:sz w:val="28"/>
          <w:szCs w:val="28"/>
        </w:rPr>
      </w:pPr>
      <w:r>
        <w:rPr>
          <w:rFonts w:ascii="Times New Roman" w:hAnsi="Times New Roman" w:cs="Times New Roman"/>
          <w:sz w:val="28"/>
          <w:szCs w:val="28"/>
        </w:rPr>
        <w:t>ANOVA</w:t>
      </w:r>
    </w:p>
    <w:p w14:paraId="2D76FC36" w14:textId="34E4A590" w:rsidR="00003F50" w:rsidRDefault="00003F50" w:rsidP="008B53B8">
      <w:pPr>
        <w:pStyle w:val="HTMLPreformatted"/>
        <w:rPr>
          <w:rFonts w:ascii="Times New Roman" w:hAnsi="Times New Roman" w:cs="Times New Roman"/>
          <w:sz w:val="28"/>
          <w:szCs w:val="28"/>
        </w:rPr>
      </w:pPr>
      <w:r>
        <w:rPr>
          <w:rFonts w:ascii="Times New Roman" w:hAnsi="Times New Roman" w:cs="Times New Roman"/>
          <w:sz w:val="28"/>
          <w:szCs w:val="28"/>
        </w:rPr>
        <w:t>Shapiro-Wilk</w:t>
      </w:r>
    </w:p>
    <w:p w14:paraId="324AC5D0" w14:textId="77777777" w:rsidR="00003F50" w:rsidRDefault="00003F50" w:rsidP="008B53B8">
      <w:pPr>
        <w:pStyle w:val="HTMLPreformatted"/>
        <w:rPr>
          <w:rFonts w:ascii="Times New Roman" w:hAnsi="Times New Roman" w:cs="Times New Roman"/>
          <w:sz w:val="28"/>
          <w:szCs w:val="28"/>
        </w:rPr>
      </w:pPr>
    </w:p>
    <w:p w14:paraId="139E9A28" w14:textId="468C99BE" w:rsidR="00003F50" w:rsidRDefault="00003F50" w:rsidP="008B53B8">
      <w:pPr>
        <w:pStyle w:val="HTMLPreformatted"/>
        <w:rPr>
          <w:rFonts w:ascii="Times New Roman" w:hAnsi="Times New Roman" w:cs="Times New Roman"/>
          <w:sz w:val="28"/>
          <w:szCs w:val="28"/>
        </w:rPr>
      </w:pPr>
    </w:p>
    <w:p w14:paraId="1AF2E41E" w14:textId="7326216C" w:rsidR="00003F50" w:rsidRDefault="00003F50" w:rsidP="008B53B8">
      <w:pPr>
        <w:pStyle w:val="HTMLPreformatted"/>
        <w:rPr>
          <w:rFonts w:ascii="Times New Roman" w:hAnsi="Times New Roman" w:cs="Times New Roman"/>
          <w:sz w:val="28"/>
          <w:szCs w:val="28"/>
        </w:rPr>
      </w:pPr>
    </w:p>
    <w:p w14:paraId="18DD13DD" w14:textId="744FC0DA" w:rsidR="00003F50" w:rsidRDefault="00003F50" w:rsidP="008B53B8">
      <w:pPr>
        <w:pStyle w:val="HTMLPreformatted"/>
        <w:rPr>
          <w:rFonts w:ascii="Times New Roman" w:hAnsi="Times New Roman" w:cs="Times New Roman"/>
          <w:sz w:val="28"/>
          <w:szCs w:val="28"/>
        </w:rPr>
      </w:pPr>
    </w:p>
    <w:p w14:paraId="32A6548C" w14:textId="32064152" w:rsidR="00003F50" w:rsidRDefault="00003F50" w:rsidP="008B53B8">
      <w:pPr>
        <w:pStyle w:val="HTMLPreformatted"/>
        <w:rPr>
          <w:rFonts w:ascii="Times New Roman" w:hAnsi="Times New Roman" w:cs="Times New Roman"/>
          <w:sz w:val="28"/>
          <w:szCs w:val="28"/>
        </w:rPr>
      </w:pPr>
    </w:p>
    <w:p w14:paraId="3504C50D" w14:textId="13084A88" w:rsidR="00003F50" w:rsidRDefault="00003F50" w:rsidP="008B53B8">
      <w:pPr>
        <w:pStyle w:val="HTMLPreformatted"/>
        <w:rPr>
          <w:rFonts w:ascii="Times New Roman" w:hAnsi="Times New Roman" w:cs="Times New Roman"/>
          <w:sz w:val="28"/>
          <w:szCs w:val="28"/>
        </w:rPr>
      </w:pPr>
    </w:p>
    <w:p w14:paraId="40200FD5" w14:textId="290C42B6" w:rsidR="00003F50" w:rsidRDefault="00003F50" w:rsidP="008B53B8">
      <w:pPr>
        <w:pStyle w:val="HTMLPreformatted"/>
        <w:rPr>
          <w:rFonts w:ascii="Times New Roman" w:hAnsi="Times New Roman" w:cs="Times New Roman"/>
          <w:sz w:val="28"/>
          <w:szCs w:val="28"/>
        </w:rPr>
      </w:pPr>
    </w:p>
    <w:p w14:paraId="5667FBE9" w14:textId="6E37F188" w:rsidR="00003F50" w:rsidRDefault="00003F50" w:rsidP="008B53B8">
      <w:pPr>
        <w:pStyle w:val="HTMLPreformatted"/>
        <w:rPr>
          <w:rFonts w:ascii="Times New Roman" w:hAnsi="Times New Roman" w:cs="Times New Roman"/>
          <w:sz w:val="28"/>
          <w:szCs w:val="28"/>
        </w:rPr>
      </w:pPr>
    </w:p>
    <w:p w14:paraId="7339F114" w14:textId="77777777" w:rsidR="00003F50" w:rsidRDefault="00003F50" w:rsidP="008B53B8">
      <w:pPr>
        <w:pStyle w:val="HTMLPreformatted"/>
        <w:rPr>
          <w:rFonts w:ascii="Times New Roman" w:hAnsi="Times New Roman" w:cs="Times New Roman"/>
          <w:sz w:val="28"/>
          <w:szCs w:val="28"/>
        </w:rPr>
      </w:pPr>
    </w:p>
    <w:p w14:paraId="7DF566C7" w14:textId="3377ED20" w:rsidR="008B53B8" w:rsidRDefault="008B53B8" w:rsidP="008B53B8">
      <w:pPr>
        <w:pStyle w:val="HTMLPreformatted"/>
        <w:rPr>
          <w:rFonts w:ascii="Times New Roman" w:hAnsi="Times New Roman" w:cs="Times New Roman"/>
          <w:b/>
          <w:bCs/>
          <w:color w:val="000066"/>
          <w:sz w:val="28"/>
          <w:szCs w:val="28"/>
        </w:rPr>
      </w:pPr>
      <w:r>
        <w:rPr>
          <w:rFonts w:ascii="Times New Roman" w:hAnsi="Times New Roman" w:cs="Times New Roman"/>
          <w:sz w:val="28"/>
          <w:szCs w:val="28"/>
        </w:rPr>
        <w:t xml:space="preserve"> </w:t>
      </w:r>
      <w:r w:rsidRPr="0019175E">
        <w:rPr>
          <w:rFonts w:ascii="Times New Roman" w:hAnsi="Times New Roman" w:cs="Times New Roman"/>
          <w:b/>
          <w:bCs/>
          <w:sz w:val="28"/>
          <w:szCs w:val="28"/>
        </w:rPr>
        <w:t>CONDITION</w:t>
      </w:r>
      <w:r w:rsidRPr="00C966E5">
        <w:rPr>
          <w:rFonts w:ascii="Times New Roman" w:hAnsi="Times New Roman" w:cs="Times New Roman"/>
          <w:b/>
          <w:bCs/>
          <w:sz w:val="28"/>
          <w:szCs w:val="28"/>
        </w:rPr>
        <w:t xml:space="preserve"> </w:t>
      </w:r>
      <w:bookmarkStart w:id="1" w:name="ITEM_60"/>
      <w:r w:rsidRPr="00C966E5">
        <w:rPr>
          <w:rFonts w:ascii="Times New Roman" w:hAnsi="Times New Roman" w:cs="Times New Roman"/>
          <w:b/>
          <w:bCs/>
          <w:sz w:val="28"/>
          <w:szCs w:val="28"/>
        </w:rPr>
        <w:t>RATINGS</w:t>
      </w:r>
      <w:r>
        <w:rPr>
          <w:rFonts w:ascii="Times New Roman" w:hAnsi="Times New Roman" w:cs="Times New Roman"/>
          <w:sz w:val="28"/>
          <w:szCs w:val="28"/>
        </w:rPr>
        <w:t>:</w:t>
      </w:r>
      <w:r w:rsidRPr="00C966E5">
        <w:rPr>
          <w:rFonts w:ascii="Times New Roman" w:hAnsi="Times New Roman" w:cs="Times New Roman"/>
          <w:b/>
          <w:bCs/>
          <w:color w:val="000066"/>
          <w:sz w:val="28"/>
          <w:szCs w:val="28"/>
        </w:rPr>
        <w:t xml:space="preserve"> </w:t>
      </w:r>
      <w:r>
        <w:rPr>
          <w:rFonts w:ascii="Times New Roman" w:hAnsi="Times New Roman" w:cs="Times New Roman"/>
          <w:b/>
          <w:bCs/>
          <w:color w:val="000066"/>
          <w:sz w:val="28"/>
          <w:szCs w:val="28"/>
        </w:rPr>
        <w:t xml:space="preserve"> </w:t>
      </w:r>
      <w:r w:rsidRPr="00C966E5">
        <w:rPr>
          <w:rFonts w:ascii="Times New Roman" w:hAnsi="Times New Roman" w:cs="Times New Roman"/>
          <w:b/>
          <w:bCs/>
          <w:color w:val="000066"/>
          <w:sz w:val="28"/>
          <w:szCs w:val="28"/>
        </w:rPr>
        <w:t xml:space="preserve">Deck, Superstructure, </w:t>
      </w:r>
      <w:bookmarkEnd w:id="1"/>
      <w:r w:rsidRPr="00C966E5">
        <w:rPr>
          <w:rFonts w:ascii="Times New Roman" w:hAnsi="Times New Roman" w:cs="Times New Roman"/>
          <w:b/>
          <w:bCs/>
          <w:color w:val="000066"/>
          <w:sz w:val="28"/>
          <w:szCs w:val="28"/>
        </w:rPr>
        <w:t>Substructure</w:t>
      </w:r>
      <w:r>
        <w:rPr>
          <w:rFonts w:ascii="Times New Roman" w:hAnsi="Times New Roman" w:cs="Times New Roman"/>
          <w:b/>
          <w:bCs/>
          <w:color w:val="000066"/>
          <w:sz w:val="28"/>
          <w:szCs w:val="28"/>
        </w:rPr>
        <w:t xml:space="preserve"> – </w:t>
      </w:r>
      <w:r w:rsidRPr="001D7378">
        <w:rPr>
          <w:rFonts w:ascii="Times New Roman" w:hAnsi="Times New Roman" w:cs="Times New Roman"/>
          <w:color w:val="000066"/>
          <w:sz w:val="28"/>
          <w:szCs w:val="28"/>
        </w:rPr>
        <w:t>used to evaluate every bridge</w:t>
      </w:r>
      <w:r>
        <w:rPr>
          <w:rFonts w:ascii="Times New Roman" w:hAnsi="Times New Roman" w:cs="Times New Roman"/>
          <w:color w:val="000066"/>
          <w:sz w:val="28"/>
          <w:szCs w:val="28"/>
        </w:rPr>
        <w:t xml:space="preserve"> --</w:t>
      </w:r>
      <w:r>
        <w:rPr>
          <w:rFonts w:ascii="Times New Roman" w:hAnsi="Times New Roman" w:cs="Times New Roman"/>
          <w:b/>
          <w:bCs/>
          <w:color w:val="000066"/>
          <w:sz w:val="28"/>
          <w:szCs w:val="28"/>
        </w:rPr>
        <w:t xml:space="preserve"> </w:t>
      </w:r>
      <w:r w:rsidRPr="001D7378">
        <w:rPr>
          <w:rFonts w:ascii="Times New Roman" w:hAnsi="Times New Roman" w:cs="Times New Roman"/>
          <w:color w:val="000066"/>
          <w:sz w:val="28"/>
          <w:szCs w:val="28"/>
        </w:rPr>
        <w:t>are the same for each</w:t>
      </w:r>
      <w:r>
        <w:rPr>
          <w:rFonts w:ascii="Times New Roman" w:hAnsi="Times New Roman" w:cs="Times New Roman"/>
          <w:b/>
          <w:bCs/>
          <w:color w:val="000066"/>
          <w:sz w:val="28"/>
          <w:szCs w:val="28"/>
        </w:rPr>
        <w:t xml:space="preserve"> Design Load.</w:t>
      </w:r>
    </w:p>
    <w:p w14:paraId="4DF2FD8A" w14:textId="77777777" w:rsidR="008B53B8" w:rsidRDefault="008B53B8" w:rsidP="00C966E5">
      <w:pPr>
        <w:pStyle w:val="HTMLPreformatted"/>
        <w:rPr>
          <w:rFonts w:ascii="Times New Roman" w:hAnsi="Times New Roman" w:cs="Times New Roman"/>
          <w:sz w:val="28"/>
          <w:szCs w:val="28"/>
        </w:rPr>
      </w:pPr>
    </w:p>
    <w:p w14:paraId="1132E0E9" w14:textId="09EDBB65" w:rsidR="00CF6ADC" w:rsidRDefault="00CF6ADC" w:rsidP="00C966E5">
      <w:pPr>
        <w:pStyle w:val="HTMLPreformatted"/>
        <w:rPr>
          <w:rFonts w:ascii="Times New Roman" w:hAnsi="Times New Roman" w:cs="Times New Roman"/>
          <w:sz w:val="28"/>
          <w:szCs w:val="28"/>
        </w:rPr>
      </w:pPr>
    </w:p>
    <w:p w14:paraId="35B65D62" w14:textId="394AC0A7" w:rsidR="00C966E5" w:rsidRDefault="00C966E5" w:rsidP="00C966E5">
      <w:pPr>
        <w:pStyle w:val="HTMLPreformatted"/>
        <w:rPr>
          <w:rFonts w:ascii="Times New Roman" w:hAnsi="Times New Roman" w:cs="Times New Roman"/>
          <w:sz w:val="28"/>
          <w:szCs w:val="28"/>
        </w:rPr>
      </w:pPr>
    </w:p>
    <w:p w14:paraId="03CD9413" w14:textId="00B6425F" w:rsidR="008859F8" w:rsidRDefault="008859F8" w:rsidP="00C966E5">
      <w:pPr>
        <w:pStyle w:val="HTMLPreformatted"/>
        <w:rPr>
          <w:rFonts w:ascii="Times New Roman" w:hAnsi="Times New Roman" w:cs="Times New Roman"/>
          <w:sz w:val="28"/>
          <w:szCs w:val="28"/>
        </w:rPr>
      </w:pPr>
    </w:p>
    <w:p w14:paraId="6B1CE317" w14:textId="58B033FA" w:rsidR="008859F8" w:rsidRPr="004D44B9" w:rsidRDefault="008859F8" w:rsidP="00C966E5">
      <w:pPr>
        <w:pStyle w:val="HTMLPreformatted"/>
        <w:rPr>
          <w:sz w:val="28"/>
          <w:szCs w:val="28"/>
        </w:rPr>
      </w:pPr>
      <w:r w:rsidRPr="004D44B9">
        <w:rPr>
          <w:sz w:val="28"/>
          <w:szCs w:val="28"/>
        </w:rPr>
        <w:t>Bridge condition assessment is the evaluation of differences between the as-designed, as-built, and as-is states of the structures.</w:t>
      </w:r>
    </w:p>
    <w:p w14:paraId="7AC6D4A9" w14:textId="71FFE571" w:rsidR="008859F8" w:rsidRPr="004D44B9" w:rsidRDefault="004F3174" w:rsidP="00C966E5">
      <w:pPr>
        <w:pStyle w:val="HTMLPreformatted"/>
        <w:rPr>
          <w:sz w:val="28"/>
          <w:szCs w:val="28"/>
        </w:rPr>
      </w:pPr>
      <w:hyperlink r:id="rId10" w:history="1">
        <w:r w:rsidR="004D44B9" w:rsidRPr="004D44B9">
          <w:rPr>
            <w:rStyle w:val="Hyperlink"/>
            <w:sz w:val="28"/>
            <w:szCs w:val="28"/>
          </w:rPr>
          <w:t>https://pdfs.semanticscholar.org/0db4/26250bed10f31cc2f7ffa227e356b94350c3.pdf</w:t>
        </w:r>
      </w:hyperlink>
    </w:p>
    <w:p w14:paraId="02421A18" w14:textId="77777777" w:rsidR="008859F8" w:rsidRPr="008859F8" w:rsidRDefault="008859F8" w:rsidP="00C966E5">
      <w:pPr>
        <w:pStyle w:val="HTMLPreformatted"/>
        <w:rPr>
          <w:rFonts w:ascii="Times New Roman" w:hAnsi="Times New Roman" w:cs="Times New Roman"/>
          <w:sz w:val="28"/>
          <w:szCs w:val="28"/>
        </w:rPr>
      </w:pPr>
    </w:p>
    <w:p w14:paraId="4BB99E08" w14:textId="0A40093F" w:rsidR="00B74971" w:rsidRDefault="00B4745C">
      <w:r>
        <w:t>I will also create a dashboard that will allows you to ask questions about any specific bridge or locate all the bridges in your area or identify</w:t>
      </w:r>
      <w:r w:rsidR="00B96E9C">
        <w:t>/</w:t>
      </w:r>
      <w:r w:rsidR="00DF118C">
        <w:t>locate the</w:t>
      </w:r>
      <w:r>
        <w:t xml:space="preserve"> bridge closest to you.</w:t>
      </w:r>
    </w:p>
    <w:p w14:paraId="55AF7B6B" w14:textId="65C33ADA" w:rsidR="002B72D2" w:rsidRDefault="002B72D2">
      <w:r>
        <w:t>======================================================</w:t>
      </w:r>
    </w:p>
    <w:p w14:paraId="4D5388D7" w14:textId="4BC0470D" w:rsidR="00B74971" w:rsidRDefault="00B74971" w:rsidP="00B74971">
      <w:r>
        <w:t>Let’s start by understanding what a bridge is according to the FHWA:</w:t>
      </w:r>
      <w:r w:rsidR="0004043C">
        <w:t xml:space="preserve"> </w:t>
      </w:r>
      <w:r>
        <w:t>Any structure that carries a highway load and has a total length greater than 20 ft. is a bridge.</w:t>
      </w:r>
    </w:p>
    <w:p w14:paraId="7EC1BD66" w14:textId="70B45568" w:rsidR="00C03578" w:rsidRDefault="00C03578" w:rsidP="00B74971">
      <w:r>
        <w:t>Next let’s understand the challenge I faced:</w:t>
      </w:r>
      <w:r w:rsidR="0004043C">
        <w:t xml:space="preserve"> </w:t>
      </w:r>
      <w:r>
        <w:t xml:space="preserve">The real challenge here was not applying statistical methods to analyze the date – the real challenge was deciphering the codebook. </w:t>
      </w:r>
      <w:r w:rsidR="006343B4">
        <w:t xml:space="preserve">Once you understand the codebook (data dictionary) you can begin to filter the data and find possible relevant relationships </w:t>
      </w:r>
      <w:r w:rsidR="008506A2">
        <w:t xml:space="preserve">worthy of further </w:t>
      </w:r>
      <w:r w:rsidR="006343B4">
        <w:t>investigat</w:t>
      </w:r>
      <w:r w:rsidR="008506A2">
        <w:t>ion/analysis.</w:t>
      </w:r>
    </w:p>
    <w:p w14:paraId="2446254E" w14:textId="101CA4A2" w:rsidR="0004043C" w:rsidRDefault="00615EE2" w:rsidP="00B74971">
      <w:r>
        <w:t xml:space="preserve">To show you the complexity of the data here is how to decipher the attribute known as “Design Load.” The table does not come from the codebook. Nor does it tell what each of the entries mean. </w:t>
      </w:r>
    </w:p>
    <w:tbl>
      <w:tblPr>
        <w:tblW w:w="0" w:type="auto"/>
        <w:tblBorders>
          <w:left w:val="single" w:sz="6" w:space="0" w:color="AAAAAA"/>
          <w:bottom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590"/>
        <w:gridCol w:w="1880"/>
        <w:gridCol w:w="1969"/>
      </w:tblGrid>
      <w:tr w:rsidR="00615EE2" w:rsidRPr="00615EE2" w14:paraId="392AF68E" w14:textId="77777777" w:rsidTr="00615EE2">
        <w:trPr>
          <w:tblHeader/>
        </w:trPr>
        <w:tc>
          <w:tcPr>
            <w:tcW w:w="0" w:type="auto"/>
            <w:tcBorders>
              <w:top w:val="single" w:sz="6" w:space="0" w:color="AAAAAA"/>
              <w:right w:val="single" w:sz="6" w:space="0" w:color="AAAAAA"/>
            </w:tcBorders>
            <w:shd w:val="clear" w:color="auto" w:fill="264D73"/>
            <w:tcMar>
              <w:top w:w="45" w:type="dxa"/>
              <w:left w:w="45" w:type="dxa"/>
              <w:bottom w:w="45" w:type="dxa"/>
              <w:right w:w="45" w:type="dxa"/>
            </w:tcMar>
            <w:hideMark/>
          </w:tcPr>
          <w:p w14:paraId="3AF2EA23" w14:textId="77777777" w:rsidR="00615EE2" w:rsidRPr="00615EE2" w:rsidRDefault="00615EE2" w:rsidP="00615EE2">
            <w:pPr>
              <w:spacing w:before="180" w:after="180" w:line="240" w:lineRule="auto"/>
              <w:jc w:val="center"/>
              <w:rPr>
                <w:rFonts w:ascii="Arial" w:eastAsia="Times New Roman" w:hAnsi="Arial" w:cs="Arial"/>
                <w:b/>
                <w:bCs/>
                <w:color w:val="FFFFFF"/>
                <w:sz w:val="20"/>
                <w:szCs w:val="20"/>
              </w:rPr>
            </w:pPr>
            <w:r w:rsidRPr="00615EE2">
              <w:rPr>
                <w:rFonts w:ascii="Arial" w:eastAsia="Times New Roman" w:hAnsi="Arial" w:cs="Arial"/>
                <w:b/>
                <w:bCs/>
                <w:color w:val="FFFFFF"/>
                <w:sz w:val="20"/>
                <w:szCs w:val="20"/>
              </w:rPr>
              <w:t>Code</w:t>
            </w:r>
          </w:p>
        </w:tc>
        <w:tc>
          <w:tcPr>
            <w:tcW w:w="0" w:type="auto"/>
            <w:tcBorders>
              <w:top w:val="single" w:sz="6" w:space="0" w:color="AAAAAA"/>
              <w:right w:val="single" w:sz="6" w:space="0" w:color="AAAAAA"/>
            </w:tcBorders>
            <w:shd w:val="clear" w:color="auto" w:fill="264D73"/>
            <w:tcMar>
              <w:top w:w="45" w:type="dxa"/>
              <w:left w:w="45" w:type="dxa"/>
              <w:bottom w:w="45" w:type="dxa"/>
              <w:right w:w="45" w:type="dxa"/>
            </w:tcMar>
            <w:hideMark/>
          </w:tcPr>
          <w:p w14:paraId="140D190F" w14:textId="77777777" w:rsidR="00615EE2" w:rsidRPr="00615EE2" w:rsidRDefault="00615EE2" w:rsidP="00615EE2">
            <w:pPr>
              <w:spacing w:before="180" w:after="180" w:line="240" w:lineRule="auto"/>
              <w:jc w:val="center"/>
              <w:rPr>
                <w:rFonts w:ascii="Arial" w:eastAsia="Times New Roman" w:hAnsi="Arial" w:cs="Arial"/>
                <w:b/>
                <w:bCs/>
                <w:color w:val="FFFFFF"/>
                <w:sz w:val="20"/>
                <w:szCs w:val="20"/>
              </w:rPr>
            </w:pPr>
            <w:r w:rsidRPr="00615EE2">
              <w:rPr>
                <w:rFonts w:ascii="Arial" w:eastAsia="Times New Roman" w:hAnsi="Arial" w:cs="Arial"/>
                <w:b/>
                <w:bCs/>
                <w:color w:val="FFFFFF"/>
                <w:sz w:val="20"/>
                <w:szCs w:val="20"/>
              </w:rPr>
              <w:t>Metric Description</w:t>
            </w:r>
          </w:p>
        </w:tc>
        <w:tc>
          <w:tcPr>
            <w:tcW w:w="0" w:type="auto"/>
            <w:tcBorders>
              <w:top w:val="single" w:sz="6" w:space="0" w:color="AAAAAA"/>
              <w:right w:val="single" w:sz="6" w:space="0" w:color="AAAAAA"/>
            </w:tcBorders>
            <w:shd w:val="clear" w:color="auto" w:fill="264D73"/>
            <w:tcMar>
              <w:top w:w="45" w:type="dxa"/>
              <w:left w:w="45" w:type="dxa"/>
              <w:bottom w:w="45" w:type="dxa"/>
              <w:right w:w="45" w:type="dxa"/>
            </w:tcMar>
            <w:hideMark/>
          </w:tcPr>
          <w:p w14:paraId="55870DD8" w14:textId="77777777" w:rsidR="00615EE2" w:rsidRPr="00615EE2" w:rsidRDefault="00615EE2" w:rsidP="00615EE2">
            <w:pPr>
              <w:spacing w:before="180" w:after="180" w:line="240" w:lineRule="auto"/>
              <w:jc w:val="center"/>
              <w:rPr>
                <w:rFonts w:ascii="Arial" w:eastAsia="Times New Roman" w:hAnsi="Arial" w:cs="Arial"/>
                <w:b/>
                <w:bCs/>
                <w:color w:val="FFFFFF"/>
                <w:sz w:val="20"/>
                <w:szCs w:val="20"/>
              </w:rPr>
            </w:pPr>
            <w:r w:rsidRPr="00615EE2">
              <w:rPr>
                <w:rFonts w:ascii="Arial" w:eastAsia="Times New Roman" w:hAnsi="Arial" w:cs="Arial"/>
                <w:b/>
                <w:bCs/>
                <w:color w:val="FFFFFF"/>
                <w:sz w:val="20"/>
                <w:szCs w:val="20"/>
              </w:rPr>
              <w:t>English Description</w:t>
            </w:r>
          </w:p>
        </w:tc>
      </w:tr>
      <w:tr w:rsidR="00615EE2" w:rsidRPr="00615EE2" w14:paraId="1CD4FD07"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40416C52"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b/>
                <w:bCs/>
                <w:color w:val="000000"/>
                <w:sz w:val="20"/>
                <w:szCs w:val="20"/>
              </w:rPr>
              <w:t>0</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28E54B40"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b/>
                <w:bCs/>
                <w:color w:val="000000"/>
                <w:sz w:val="20"/>
                <w:szCs w:val="20"/>
              </w:rPr>
              <w:t>Unknown</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7F849855"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b/>
                <w:bCs/>
                <w:color w:val="000000"/>
                <w:sz w:val="20"/>
                <w:szCs w:val="20"/>
              </w:rPr>
              <w:t>Unknown</w:t>
            </w:r>
          </w:p>
        </w:tc>
      </w:tr>
      <w:tr w:rsidR="00615EE2" w:rsidRPr="00615EE2" w14:paraId="3FD15529"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31FBAAAB"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1</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1ECF33A5"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M 9 or</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0DFD0C66"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H 10</w:t>
            </w:r>
          </w:p>
        </w:tc>
      </w:tr>
      <w:tr w:rsidR="00615EE2" w:rsidRPr="00615EE2" w14:paraId="5F96721F"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5CBCD0E5"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2</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52A6DA93"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M 13.5</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661C1D21"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H 15</w:t>
            </w:r>
          </w:p>
        </w:tc>
      </w:tr>
      <w:tr w:rsidR="00615EE2" w:rsidRPr="00615EE2" w14:paraId="2A59CD0E"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29A5081F"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3</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3B356694"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MS 13.5</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0AAD0307"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HS 15</w:t>
            </w:r>
          </w:p>
        </w:tc>
      </w:tr>
      <w:tr w:rsidR="00615EE2" w:rsidRPr="00615EE2" w14:paraId="42BFF8B4"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521C5DB0"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4</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25430D58"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M 18</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1863ABBC"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H 20</w:t>
            </w:r>
          </w:p>
        </w:tc>
      </w:tr>
      <w:tr w:rsidR="00615EE2" w:rsidRPr="00615EE2" w14:paraId="1170D376"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59B4EE13"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5</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0D1E4332"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MS 18</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5D04850B"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HS 20</w:t>
            </w:r>
          </w:p>
        </w:tc>
      </w:tr>
      <w:tr w:rsidR="00615EE2" w:rsidRPr="00615EE2" w14:paraId="3F325953"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306D0EE4"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6</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62E0FD12"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MS 18 + Mod</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6C5976E0"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HS 20 + Mod</w:t>
            </w:r>
          </w:p>
        </w:tc>
      </w:tr>
      <w:tr w:rsidR="00615EE2" w:rsidRPr="00615EE2" w14:paraId="75E4B656"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09999900"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lastRenderedPageBreak/>
              <w:t>7</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648F524A"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Pedestrian</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6954D10C"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Pedestrian</w:t>
            </w:r>
          </w:p>
        </w:tc>
      </w:tr>
      <w:tr w:rsidR="00615EE2" w:rsidRPr="00615EE2" w14:paraId="31FAFA49"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6234008B"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8</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0005C5B8"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Railroad</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787EC290"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Railroad</w:t>
            </w:r>
          </w:p>
        </w:tc>
      </w:tr>
      <w:tr w:rsidR="00615EE2" w:rsidRPr="00615EE2" w14:paraId="48251459"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0460A069"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9</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09F6801D"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MS 22.5 </w:t>
            </w:r>
            <w:r w:rsidRPr="00615EE2">
              <w:rPr>
                <w:rFonts w:ascii="Arial" w:eastAsia="Times New Roman" w:hAnsi="Arial" w:cs="Arial"/>
                <w:b/>
                <w:bCs/>
                <w:color w:val="000000"/>
                <w:sz w:val="20"/>
                <w:szCs w:val="20"/>
              </w:rPr>
              <w:t>or greater</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509D9334"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color w:val="000000"/>
                <w:sz w:val="20"/>
                <w:szCs w:val="20"/>
              </w:rPr>
              <w:t>HS 25 </w:t>
            </w:r>
            <w:r w:rsidRPr="00615EE2">
              <w:rPr>
                <w:rFonts w:ascii="Arial" w:eastAsia="Times New Roman" w:hAnsi="Arial" w:cs="Arial"/>
                <w:b/>
                <w:bCs/>
                <w:color w:val="000000"/>
                <w:sz w:val="20"/>
                <w:szCs w:val="20"/>
              </w:rPr>
              <w:t>or greater</w:t>
            </w:r>
          </w:p>
        </w:tc>
      </w:tr>
      <w:tr w:rsidR="00615EE2" w:rsidRPr="00615EE2" w14:paraId="456BDECD"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518A67BB"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b/>
                <w:bCs/>
                <w:color w:val="000000"/>
                <w:sz w:val="20"/>
                <w:szCs w:val="20"/>
              </w:rPr>
              <w:t>A</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45BA6320"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b/>
                <w:bCs/>
                <w:color w:val="000000"/>
                <w:sz w:val="20"/>
                <w:szCs w:val="20"/>
              </w:rPr>
              <w:t>HL 93</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1A799593"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b/>
                <w:bCs/>
                <w:color w:val="000000"/>
                <w:sz w:val="20"/>
                <w:szCs w:val="20"/>
              </w:rPr>
              <w:t>HL 93</w:t>
            </w:r>
          </w:p>
        </w:tc>
      </w:tr>
      <w:tr w:rsidR="00615EE2" w:rsidRPr="00615EE2" w14:paraId="39FB27C8"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564F335E"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b/>
                <w:bCs/>
                <w:color w:val="000000"/>
                <w:sz w:val="20"/>
                <w:szCs w:val="20"/>
              </w:rPr>
              <w:t>B</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37726F45"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b/>
                <w:bCs/>
                <w:color w:val="000000"/>
                <w:sz w:val="20"/>
                <w:szCs w:val="20"/>
              </w:rPr>
              <w:t>Greater than HL 93</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3C2386E7"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b/>
                <w:bCs/>
                <w:color w:val="000000"/>
                <w:sz w:val="20"/>
                <w:szCs w:val="20"/>
              </w:rPr>
              <w:t>Greater than HL 93</w:t>
            </w:r>
          </w:p>
        </w:tc>
      </w:tr>
      <w:tr w:rsidR="00615EE2" w:rsidRPr="00615EE2" w14:paraId="7EC5E70A" w14:textId="77777777" w:rsidTr="00615EE2">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7331F1A7"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b/>
                <w:bCs/>
                <w:color w:val="000000"/>
                <w:sz w:val="20"/>
                <w:szCs w:val="20"/>
              </w:rPr>
              <w:t>C</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5E10973E"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b/>
                <w:bCs/>
                <w:color w:val="000000"/>
                <w:sz w:val="20"/>
                <w:szCs w:val="20"/>
              </w:rPr>
              <w:t>Other</w:t>
            </w:r>
          </w:p>
        </w:tc>
        <w:tc>
          <w:tcPr>
            <w:tcW w:w="0" w:type="auto"/>
            <w:tcBorders>
              <w:top w:val="single" w:sz="6" w:space="0" w:color="AAAAAA"/>
              <w:right w:val="single" w:sz="6" w:space="0" w:color="AAAAAA"/>
            </w:tcBorders>
            <w:shd w:val="clear" w:color="auto" w:fill="FFFFFF"/>
            <w:tcMar>
              <w:top w:w="45" w:type="dxa"/>
              <w:left w:w="45" w:type="dxa"/>
              <w:bottom w:w="45" w:type="dxa"/>
              <w:right w:w="45" w:type="dxa"/>
            </w:tcMar>
            <w:hideMark/>
          </w:tcPr>
          <w:p w14:paraId="3D86FDDD" w14:textId="77777777" w:rsidR="00615EE2" w:rsidRPr="00615EE2" w:rsidRDefault="00615EE2" w:rsidP="00615EE2">
            <w:pPr>
              <w:spacing w:before="180" w:after="180" w:line="240" w:lineRule="auto"/>
              <w:rPr>
                <w:rFonts w:ascii="Arial" w:eastAsia="Times New Roman" w:hAnsi="Arial" w:cs="Arial"/>
                <w:color w:val="000000"/>
                <w:sz w:val="20"/>
                <w:szCs w:val="20"/>
              </w:rPr>
            </w:pPr>
            <w:r w:rsidRPr="00615EE2">
              <w:rPr>
                <w:rFonts w:ascii="Arial" w:eastAsia="Times New Roman" w:hAnsi="Arial" w:cs="Arial"/>
                <w:b/>
                <w:bCs/>
                <w:color w:val="000000"/>
                <w:sz w:val="20"/>
                <w:szCs w:val="20"/>
              </w:rPr>
              <w:t>Other</w:t>
            </w:r>
          </w:p>
        </w:tc>
      </w:tr>
    </w:tbl>
    <w:p w14:paraId="40C98676" w14:textId="52680E89" w:rsidR="00615EE2" w:rsidRDefault="00615EE2" w:rsidP="00B74971"/>
    <w:p w14:paraId="7D028398" w14:textId="65E50ABC" w:rsidR="00E8304A" w:rsidRDefault="00E8304A" w:rsidP="00B74971">
      <w:r>
        <w:t xml:space="preserve">So, as </w:t>
      </w:r>
      <w:r w:rsidR="004A4207">
        <w:t xml:space="preserve">you can </w:t>
      </w:r>
      <w:r w:rsidR="00C901BE">
        <w:t>see,</w:t>
      </w:r>
      <w:r>
        <w:t xml:space="preserve"> once you understand the codebook you </w:t>
      </w:r>
      <w:r w:rsidR="00C841EF">
        <w:t xml:space="preserve">can </w:t>
      </w:r>
      <w:r w:rsidR="004A4207">
        <w:t>understand the data. Once you understand the data you are good to go.</w:t>
      </w:r>
    </w:p>
    <w:p w14:paraId="06E42FF5" w14:textId="77777777" w:rsidR="00C03578" w:rsidRDefault="00C03578" w:rsidP="00B74971"/>
    <w:p w14:paraId="1A223810" w14:textId="77777777" w:rsidR="00B74971" w:rsidRDefault="00B74971"/>
    <w:p w14:paraId="4EB2DDE8" w14:textId="3EF7F462" w:rsidR="001B6F34" w:rsidRDefault="001B6F34"/>
    <w:p w14:paraId="05686DBA" w14:textId="77777777" w:rsidR="001B6F34" w:rsidRPr="001B6F34" w:rsidRDefault="001B6F34" w:rsidP="001B6F34">
      <w:pPr>
        <w:shd w:val="clear" w:color="auto" w:fill="FFFFFF"/>
        <w:spacing w:after="225" w:line="240" w:lineRule="auto"/>
        <w:rPr>
          <w:rFonts w:eastAsia="Times New Roman" w:cs="Times New Roman"/>
          <w:color w:val="34495E"/>
          <w:sz w:val="27"/>
          <w:szCs w:val="27"/>
        </w:rPr>
      </w:pPr>
      <w:r w:rsidRPr="001B6F34">
        <w:rPr>
          <w:rFonts w:eastAsia="Times New Roman" w:cs="Times New Roman"/>
          <w:color w:val="34495E"/>
          <w:sz w:val="27"/>
          <w:szCs w:val="27"/>
        </w:rPr>
        <w:t>The government classifies a bridge as “structurally deficient” if any one of the following bridge components are rated less than or equal to 4 (in poor or worse condition):</w:t>
      </w:r>
    </w:p>
    <w:p w14:paraId="12463231" w14:textId="77777777" w:rsidR="001B6F34" w:rsidRPr="001B6F34" w:rsidRDefault="001B6F34" w:rsidP="001B6F34">
      <w:pPr>
        <w:numPr>
          <w:ilvl w:val="0"/>
          <w:numId w:val="1"/>
        </w:numPr>
        <w:shd w:val="clear" w:color="auto" w:fill="FFFFFF"/>
        <w:spacing w:before="100" w:beforeAutospacing="1" w:after="100" w:afterAutospacing="1" w:line="240" w:lineRule="auto"/>
        <w:rPr>
          <w:rFonts w:ascii="Helvetica" w:eastAsia="Times New Roman" w:hAnsi="Helvetica" w:cs="Helvetica"/>
          <w:color w:val="34495E"/>
          <w:sz w:val="27"/>
          <w:szCs w:val="27"/>
        </w:rPr>
      </w:pPr>
      <w:r w:rsidRPr="001B6F34">
        <w:rPr>
          <w:rFonts w:ascii="Helvetica" w:eastAsia="Times New Roman" w:hAnsi="Helvetica" w:cs="Helvetica"/>
          <w:color w:val="34495E"/>
          <w:sz w:val="27"/>
          <w:szCs w:val="27"/>
        </w:rPr>
        <w:t>Deck condition</w:t>
      </w:r>
    </w:p>
    <w:p w14:paraId="2A004F6E" w14:textId="77777777" w:rsidR="001B6F34" w:rsidRPr="001B6F34" w:rsidRDefault="001B6F34" w:rsidP="001B6F34">
      <w:pPr>
        <w:numPr>
          <w:ilvl w:val="0"/>
          <w:numId w:val="1"/>
        </w:numPr>
        <w:shd w:val="clear" w:color="auto" w:fill="FFFFFF"/>
        <w:spacing w:before="100" w:beforeAutospacing="1" w:after="100" w:afterAutospacing="1" w:line="240" w:lineRule="auto"/>
        <w:rPr>
          <w:rFonts w:ascii="Helvetica" w:eastAsia="Times New Roman" w:hAnsi="Helvetica" w:cs="Helvetica"/>
          <w:color w:val="34495E"/>
          <w:sz w:val="27"/>
          <w:szCs w:val="27"/>
        </w:rPr>
      </w:pPr>
      <w:r w:rsidRPr="001B6F34">
        <w:rPr>
          <w:rFonts w:ascii="Helvetica" w:eastAsia="Times New Roman" w:hAnsi="Helvetica" w:cs="Helvetica"/>
          <w:color w:val="34495E"/>
          <w:sz w:val="27"/>
          <w:szCs w:val="27"/>
        </w:rPr>
        <w:t>Superstructure condition</w:t>
      </w:r>
    </w:p>
    <w:p w14:paraId="68F3E954" w14:textId="77777777" w:rsidR="001B6F34" w:rsidRPr="001B6F34" w:rsidRDefault="001B6F34" w:rsidP="001B6F34">
      <w:pPr>
        <w:numPr>
          <w:ilvl w:val="0"/>
          <w:numId w:val="1"/>
        </w:numPr>
        <w:shd w:val="clear" w:color="auto" w:fill="FFFFFF"/>
        <w:spacing w:before="100" w:beforeAutospacing="1" w:after="100" w:afterAutospacing="1" w:line="240" w:lineRule="auto"/>
        <w:rPr>
          <w:rFonts w:ascii="Helvetica" w:eastAsia="Times New Roman" w:hAnsi="Helvetica" w:cs="Helvetica"/>
          <w:color w:val="34495E"/>
          <w:sz w:val="27"/>
          <w:szCs w:val="27"/>
        </w:rPr>
      </w:pPr>
      <w:r w:rsidRPr="001B6F34">
        <w:rPr>
          <w:rFonts w:ascii="Helvetica" w:eastAsia="Times New Roman" w:hAnsi="Helvetica" w:cs="Helvetica"/>
          <w:color w:val="34495E"/>
          <w:sz w:val="27"/>
          <w:szCs w:val="27"/>
        </w:rPr>
        <w:t>Substructure condition</w:t>
      </w:r>
    </w:p>
    <w:p w14:paraId="704B2875" w14:textId="77777777" w:rsidR="001B6F34" w:rsidRPr="001B6F34" w:rsidRDefault="001B6F34" w:rsidP="001B6F34">
      <w:pPr>
        <w:shd w:val="clear" w:color="auto" w:fill="FFFFFF"/>
        <w:spacing w:after="0" w:line="240" w:lineRule="auto"/>
        <w:ind w:left="720"/>
        <w:rPr>
          <w:rFonts w:ascii="Helvetica" w:eastAsia="Times New Roman" w:hAnsi="Helvetica" w:cs="Helvetica"/>
          <w:color w:val="34495E"/>
          <w:sz w:val="27"/>
          <w:szCs w:val="27"/>
        </w:rPr>
      </w:pPr>
      <w:r w:rsidRPr="001B6F34">
        <w:rPr>
          <w:rFonts w:ascii="Helvetica" w:eastAsia="Times New Roman" w:hAnsi="Helvetica" w:cs="Helvetica"/>
          <w:color w:val="34495E"/>
          <w:sz w:val="27"/>
          <w:szCs w:val="27"/>
        </w:rPr>
        <w:t>Culvert condition</w:t>
      </w:r>
    </w:p>
    <w:p w14:paraId="49672B0B" w14:textId="6817CC81" w:rsidR="001B6F34" w:rsidRDefault="001B6F34"/>
    <w:p w14:paraId="740D5856" w14:textId="3F02D587" w:rsidR="00AB2787" w:rsidRDefault="00AB2787"/>
    <w:p w14:paraId="6AC6604D" w14:textId="57695605" w:rsidR="00AB2787" w:rsidRDefault="00AB2787"/>
    <w:p w14:paraId="7F15D4F4" w14:textId="03979E5D" w:rsidR="00AB2787" w:rsidRDefault="00AB2787"/>
    <w:p w14:paraId="6AA303DD" w14:textId="0AD82A54" w:rsidR="00AB2787" w:rsidRDefault="00AB2787"/>
    <w:p w14:paraId="21DC815B" w14:textId="497BBF30" w:rsidR="00AB2787" w:rsidRDefault="00AB2787">
      <w:r>
        <w:lastRenderedPageBreak/>
        <w:t>According to FHWA, any structure that carries a highway load and has a total length greater than 20 ft. is a bridge.</w:t>
      </w:r>
    </w:p>
    <w:p w14:paraId="2B6263F0" w14:textId="78A0BD4F" w:rsidR="00C345E4" w:rsidRDefault="00C345E4"/>
    <w:p w14:paraId="498B78B5" w14:textId="16D7BE6A" w:rsidR="00C345E4" w:rsidRDefault="00C345E4">
      <w:r>
        <w:t>Federal Highway Administration (FHWA) requires load ratings of all the structures of length 20 feet or greater in compliance with National Bridge Inspection Standards (NBIS)</w:t>
      </w:r>
    </w:p>
    <w:p w14:paraId="6DB0B60E" w14:textId="2F453737" w:rsidR="009462CD" w:rsidRDefault="009462CD"/>
    <w:p w14:paraId="0D6403D6" w14:textId="05C66FC8" w:rsidR="009462CD" w:rsidRDefault="009462CD">
      <w:r>
        <w:t xml:space="preserve">The real challenge here was not applying statistical methods to analyze the date – the real challenge was deciphering the codebook. </w:t>
      </w:r>
    </w:p>
    <w:p w14:paraId="28BAFBB0" w14:textId="285652F9" w:rsidR="00F67624" w:rsidRDefault="00F67624"/>
    <w:p w14:paraId="12B9F19A" w14:textId="73ED1A52" w:rsidR="00F67624" w:rsidRDefault="00F67624">
      <w:r>
        <w:t xml:space="preserve">Tet to see if sample means same for all design loads  </w:t>
      </w:r>
    </w:p>
    <w:p w14:paraId="6A17B4A5" w14:textId="08B613BE" w:rsidR="00F67624" w:rsidRDefault="00F67624">
      <w:r>
        <w:t>Per design load check all three conditions</w:t>
      </w:r>
    </w:p>
    <w:p w14:paraId="4C201C31" w14:textId="06E6582D" w:rsidR="00045B80" w:rsidRDefault="00045B80"/>
    <w:p w14:paraId="4DD157B1" w14:textId="0C146C8D" w:rsidR="00045B80" w:rsidRDefault="00045B80">
      <w:r>
        <w:rPr>
          <w:rFonts w:ascii="Arial" w:hAnsi="Arial" w:cs="Arial"/>
          <w:color w:val="3E3E3E"/>
          <w:sz w:val="27"/>
          <w:szCs w:val="27"/>
          <w:shd w:val="clear" w:color="auto" w:fill="FFFFFF"/>
        </w:rPr>
        <w:t>.  A bridge is classified as structurally deficient and in need of repair if the rating on a key structural element is four or below.</w:t>
      </w:r>
    </w:p>
    <w:sectPr w:rsidR="0004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93B5D"/>
    <w:multiLevelType w:val="multilevel"/>
    <w:tmpl w:val="3C8A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1E"/>
    <w:rsid w:val="00003F50"/>
    <w:rsid w:val="0001513A"/>
    <w:rsid w:val="0004043C"/>
    <w:rsid w:val="00045B80"/>
    <w:rsid w:val="000B2814"/>
    <w:rsid w:val="000D7429"/>
    <w:rsid w:val="000F64D5"/>
    <w:rsid w:val="0019175E"/>
    <w:rsid w:val="001B6F34"/>
    <w:rsid w:val="001D7378"/>
    <w:rsid w:val="0020611E"/>
    <w:rsid w:val="002400C2"/>
    <w:rsid w:val="00283870"/>
    <w:rsid w:val="002B72D2"/>
    <w:rsid w:val="002B778D"/>
    <w:rsid w:val="00335E5C"/>
    <w:rsid w:val="00386EFE"/>
    <w:rsid w:val="003B3EA1"/>
    <w:rsid w:val="00401ADC"/>
    <w:rsid w:val="00445197"/>
    <w:rsid w:val="004A2961"/>
    <w:rsid w:val="004A4207"/>
    <w:rsid w:val="004D44B9"/>
    <w:rsid w:val="004F3174"/>
    <w:rsid w:val="00536FEA"/>
    <w:rsid w:val="00586EF8"/>
    <w:rsid w:val="00615EE2"/>
    <w:rsid w:val="006343B4"/>
    <w:rsid w:val="006C001A"/>
    <w:rsid w:val="006F1E3D"/>
    <w:rsid w:val="00701C0F"/>
    <w:rsid w:val="00735219"/>
    <w:rsid w:val="007511FC"/>
    <w:rsid w:val="00760103"/>
    <w:rsid w:val="00786B74"/>
    <w:rsid w:val="007B3BD6"/>
    <w:rsid w:val="007D3D9C"/>
    <w:rsid w:val="00822848"/>
    <w:rsid w:val="008506A2"/>
    <w:rsid w:val="00857FD6"/>
    <w:rsid w:val="008859F8"/>
    <w:rsid w:val="008B47E4"/>
    <w:rsid w:val="008B53B8"/>
    <w:rsid w:val="00940041"/>
    <w:rsid w:val="009462CD"/>
    <w:rsid w:val="00964716"/>
    <w:rsid w:val="009E2407"/>
    <w:rsid w:val="00A91501"/>
    <w:rsid w:val="00AB2787"/>
    <w:rsid w:val="00B029F4"/>
    <w:rsid w:val="00B3326E"/>
    <w:rsid w:val="00B4745C"/>
    <w:rsid w:val="00B62B88"/>
    <w:rsid w:val="00B74971"/>
    <w:rsid w:val="00B96E9C"/>
    <w:rsid w:val="00C03578"/>
    <w:rsid w:val="00C345E4"/>
    <w:rsid w:val="00C841EF"/>
    <w:rsid w:val="00C901BE"/>
    <w:rsid w:val="00C966E5"/>
    <w:rsid w:val="00CB2C36"/>
    <w:rsid w:val="00CB4197"/>
    <w:rsid w:val="00CF6ADC"/>
    <w:rsid w:val="00D471F0"/>
    <w:rsid w:val="00DF118C"/>
    <w:rsid w:val="00E11234"/>
    <w:rsid w:val="00E8304A"/>
    <w:rsid w:val="00EA4918"/>
    <w:rsid w:val="00F000E4"/>
    <w:rsid w:val="00F20AAB"/>
    <w:rsid w:val="00F41994"/>
    <w:rsid w:val="00F67624"/>
    <w:rsid w:val="00FB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868D"/>
  <w15:chartTrackingRefBased/>
  <w15:docId w15:val="{E2BDA37D-5B12-43C5-B035-C361F1EE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11E"/>
    <w:rPr>
      <w:color w:val="0000FF"/>
      <w:u w:val="single"/>
    </w:rPr>
  </w:style>
  <w:style w:type="character" w:styleId="Emphasis">
    <w:name w:val="Emphasis"/>
    <w:basedOn w:val="DefaultParagraphFont"/>
    <w:uiPriority w:val="20"/>
    <w:qFormat/>
    <w:rsid w:val="00786B74"/>
    <w:rPr>
      <w:i/>
      <w:iCs/>
    </w:rPr>
  </w:style>
  <w:style w:type="paragraph" w:styleId="NormalWeb">
    <w:name w:val="Normal (Web)"/>
    <w:basedOn w:val="Normal"/>
    <w:uiPriority w:val="99"/>
    <w:semiHidden/>
    <w:unhideWhenUsed/>
    <w:rsid w:val="001B6F34"/>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15EE2"/>
    <w:rPr>
      <w:b/>
      <w:bCs/>
    </w:rPr>
  </w:style>
  <w:style w:type="paragraph" w:styleId="HTMLPreformatted">
    <w:name w:val="HTML Preformatted"/>
    <w:basedOn w:val="Normal"/>
    <w:link w:val="HTMLPreformattedChar"/>
    <w:uiPriority w:val="99"/>
    <w:unhideWhenUsed/>
    <w:rsid w:val="00C9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66E5"/>
    <w:rPr>
      <w:rFonts w:ascii="Courier New" w:eastAsia="Times New Roman" w:hAnsi="Courier New" w:cs="Courier New"/>
      <w:sz w:val="20"/>
      <w:szCs w:val="20"/>
    </w:rPr>
  </w:style>
  <w:style w:type="character" w:customStyle="1" w:styleId="iname">
    <w:name w:val="iname"/>
    <w:basedOn w:val="DefaultParagraphFont"/>
    <w:rsid w:val="00C966E5"/>
  </w:style>
  <w:style w:type="character" w:styleId="FollowedHyperlink">
    <w:name w:val="FollowedHyperlink"/>
    <w:basedOn w:val="DefaultParagraphFont"/>
    <w:uiPriority w:val="99"/>
    <w:semiHidden/>
    <w:unhideWhenUsed/>
    <w:rsid w:val="00D471F0"/>
    <w:rPr>
      <w:color w:val="954F72" w:themeColor="followedHyperlink"/>
      <w:u w:val="single"/>
    </w:rPr>
  </w:style>
  <w:style w:type="character" w:styleId="UnresolvedMention">
    <w:name w:val="Unresolved Mention"/>
    <w:basedOn w:val="DefaultParagraphFont"/>
    <w:uiPriority w:val="99"/>
    <w:semiHidden/>
    <w:unhideWhenUsed/>
    <w:rsid w:val="00045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84466">
      <w:bodyDiv w:val="1"/>
      <w:marLeft w:val="0"/>
      <w:marRight w:val="0"/>
      <w:marTop w:val="0"/>
      <w:marBottom w:val="0"/>
      <w:divBdr>
        <w:top w:val="none" w:sz="0" w:space="0" w:color="auto"/>
        <w:left w:val="none" w:sz="0" w:space="0" w:color="auto"/>
        <w:bottom w:val="none" w:sz="0" w:space="0" w:color="auto"/>
        <w:right w:val="none" w:sz="0" w:space="0" w:color="auto"/>
      </w:divBdr>
    </w:div>
    <w:div w:id="1012873875">
      <w:bodyDiv w:val="1"/>
      <w:marLeft w:val="0"/>
      <w:marRight w:val="0"/>
      <w:marTop w:val="0"/>
      <w:marBottom w:val="0"/>
      <w:divBdr>
        <w:top w:val="none" w:sz="0" w:space="0" w:color="auto"/>
        <w:left w:val="none" w:sz="0" w:space="0" w:color="auto"/>
        <w:bottom w:val="none" w:sz="0" w:space="0" w:color="auto"/>
        <w:right w:val="none" w:sz="0" w:space="0" w:color="auto"/>
      </w:divBdr>
    </w:div>
    <w:div w:id="11060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babridgereport.org/" TargetMode="External"/><Relationship Id="rId3" Type="http://schemas.openxmlformats.org/officeDocument/2006/relationships/styles" Target="styles.xml"/><Relationship Id="rId7" Type="http://schemas.openxmlformats.org/officeDocument/2006/relationships/hyperlink" Target="https://en.wikipedia.org/wiki/Silver_Bridg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atoday.com/story/news/2018/11/15/ntsb-miami-bridge-collapse-design-errors/201202000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dfs.semanticscholar.org/0db4/26250bed10f31cc2f7ffa227e356b94350c3.pdf" TargetMode="External"/><Relationship Id="rId4" Type="http://schemas.openxmlformats.org/officeDocument/2006/relationships/settings" Target="settings.xml"/><Relationship Id="rId9" Type="http://schemas.openxmlformats.org/officeDocument/2006/relationships/hyperlink" Target="https://artbabridgereport.org/reports/2019-ARTBA-Bridge-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85D19-8D61-47E2-90BB-3F448F80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2020-01-09T16:47:00Z</dcterms:created>
  <dcterms:modified xsi:type="dcterms:W3CDTF">2020-01-09T16:48:00Z</dcterms:modified>
</cp:coreProperties>
</file>