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5F"/>
          <w:sz w:val="40"/>
        </w:rPr>
        <w:t>Reproduction du modèle DropoutNet pour le cold start</w:t>
        <w:br/>
        <w:t>en systèmes de recommandation</w:t>
      </w:r>
    </w:p>
    <w:p>
      <w:pPr>
        <w:spacing w:before="400"/>
        <w:ind w:firstLine="0"/>
        <w:jc w:val="center"/>
      </w:pPr>
      <w:r>
        <w:rPr>
          <w:i/>
          <w:sz w:val="26"/>
        </w:rPr>
        <w:t>Application au jeu de données CiteULike-a</w:t>
      </w:r>
    </w:p>
    <w:p>
      <w:pPr>
        <w:spacing w:before="3600"/>
        <w:ind w:firstLine="0"/>
        <w:jc w:val="center"/>
      </w:pPr>
      <w:r>
        <w:rPr>
          <w:sz w:val="24"/>
        </w:rPr>
        <w:t>Rapport de projet de recherche</w:t>
        <w:br/>
        <w:t>Cours de systèmes de recommandation</w:t>
        <w:br/>
        <w:t>Avril 2026</w:t>
      </w:r>
    </w:p>
    <w:p>
      <w:r>
        <w:br w:type="page"/>
      </w:r>
    </w:p>
    <w:p>
      <w:pPr>
        <w:pStyle w:val="Heading1"/>
        <w:jc w:val="left"/>
      </w:pPr>
      <w:r>
        <w:t>1. Introduction et contexte</w:t>
      </w:r>
    </w:p>
    <w:p>
      <w:pPr>
        <w:pStyle w:val="Heading2"/>
        <w:jc w:val="left"/>
      </w:pPr>
      <w:r>
        <w:t>1.1. Problème étudié</w:t>
      </w:r>
    </w:p>
    <w:p>
      <w:pPr>
        <w:jc w:val="both"/>
      </w:pPr>
      <w:r>
        <w:t>Les systèmes de recommandation modernes reposent massivement sur le filtrage collaboratif, dont le principe consiste à exploiter l'historique d'interactions entre utilisateurs et objets pour inférer les préférences. Les approches à facteurs latents, dont la factorisation matricielle pondérée (Weighted Matrix Factorization, WMF) constitue un représentant emblématique, produisent des représentations vectorielles denses qui capturent efficacement les affinités implicites entre les deux populations. Ces méthodes souffrent toutefois d'une limitation structurelle qualifiée de cold start : lorsqu'un nouvel objet ou un nouvel utilisateur arrive dans le système sans historique associé, aucune représentation latente n'a pu être apprise, et le modèle est incapable de lui attribuer un score pertinent.</w:t>
      </w:r>
    </w:p>
    <w:p>
      <w:pPr>
        <w:jc w:val="both"/>
      </w:pPr>
      <w:r>
        <w:t>Le présent projet porte sur la reproduction du modèle DropoutNet, proposé par Volkovs, Yu et Poutanen lors de la conférence NIPS 2017, qui vise précisément à lever cette limitation. L'idée centrale consiste à entraîner un réseau de neurones chargé d'apprendre une fonction de projection depuis les représentations latentes et les attributs de contenu vers un espace d'embedding commun, en simulant au moment de l'entraînement des situations de démarrage à froid par l'application stochastique d'un dropout sur les facteurs issus de la factorisation. Le modèle est reproduit sur CiteULike-a, corpus bibliographique comportant environ cinq mille cinq cents utilisateurs et près de dix-sept mille articles, dont une fraction est artificiellement tenue à l'écart pour simuler le cas cold.</w:t>
      </w:r>
    </w:p>
    <w:p>
      <w:pPr>
        <w:pStyle w:val="Heading2"/>
        <w:jc w:val="left"/>
      </w:pPr>
      <w:r>
        <w:t>1.2. Importance du sujet</w:t>
      </w:r>
    </w:p>
    <w:p>
      <w:pPr>
        <w:jc w:val="both"/>
      </w:pPr>
      <w:r>
        <w:t>Le problème du cold start possède une portée qui dépasse largement la sphère académique. Les plateformes commerciales renouvellent en permanence leur catalogue, qu'il s'agisse de produits manufacturés, de contenus multimédias ou d'articles scientifiques, et la capacité à recommander un objet dès son introduction conditionne sa visibilité, donc son adoption. Sur le versant utilisateur, l'expérience d'un nouvel inscrit dépend de la pertinence des premières recommandations, avec des conséquences directes sur la rétention. Les méthodes purement collaboratives échouent dans ces scénarios et doivent être augmentées d'une composante contenu, ce qui soulève la question de la manière optimale de combiner les deux sources d'information.</w:t>
      </w:r>
    </w:p>
    <w:p>
      <w:pPr>
        <w:jc w:val="both"/>
      </w:pPr>
      <w:r>
        <w:t>DropoutNet apporte une réponse originale à ce défi en formalisant le cold start comme un cas particulier de robustesse à la perturbation des entrées, ce qui permet de réutiliser tel quel le mécanisme de dropout popularisé dans le domaine de l'apprentissage profond. Cette reformulation conceptuelle présente l'intérêt de produire un modèle unique capable de traiter simultanément les scénarios warm et cold, sans recours à une architecture dédiée pour chacun.</w:t>
      </w:r>
    </w:p>
    <w:p>
      <w:pPr>
        <w:pStyle w:val="Heading2"/>
        <w:jc w:val="left"/>
      </w:pPr>
      <w:r>
        <w:t>1.3. Lien avec le cours</w:t>
      </w:r>
    </w:p>
    <w:p>
      <w:pPr>
        <w:jc w:val="both"/>
      </w:pPr>
      <w:r>
        <w:t>Le projet mobilise l'ensemble des fondamentaux abordés en cours de systèmes de recommandation. La factorisation matricielle pondérée, utilisée ici comme modèle de base, est la méthode canonique présentée dans le module consacré aux approches à feedback implicite, reposant sur l'algorithme ALS de Hu, Koren et Volinsky de 2008. L'évaluation exploite la métrique Recall@K également discutée en cours, avec exclusion des interactions d'entraînement, pour obtenir un classement hors échantillon représentatif. Le passage à DropoutNet introduit en sus une dimension neuronale et un entraînement par descente de gradient stochastique, prolongement naturel des modèles linéaires vers les architectures non linéaires multi-couches.</w:t>
      </w:r>
    </w:p>
    <w:p>
      <w:pPr>
        <w:jc w:val="both"/>
      </w:pPr>
      <w:r>
        <w:t>Le projet illustre ainsi la continuité méthodologique entre filtrage collaboratif classique et représentations apprises de bout en bout, tout en fournissant un exemple concret d'intégration d'une source de contenu textuel au sein d'un système hybride.</w:t>
      </w:r>
    </w:p>
    <w:p>
      <w:pPr>
        <w:pStyle w:val="Heading1"/>
        <w:jc w:val="left"/>
      </w:pPr>
      <w:r>
        <w:t>2. Analyse de l'article</w:t>
      </w:r>
    </w:p>
    <w:p>
      <w:pPr>
        <w:pStyle w:val="Heading2"/>
        <w:jc w:val="left"/>
      </w:pPr>
      <w:r>
        <w:t>2.1. Contributions principales</w:t>
      </w:r>
    </w:p>
    <w:p>
      <w:pPr>
        <w:jc w:val="both"/>
      </w:pPr>
      <w:r>
        <w:t>L'article de Volkovs, Yu et Poutanen apporte trois contributions principales. La première est méthodologique : les auteurs proposent d'entraîner un réseau de neurones à reproduire les scores prédits par un modèle à facteurs latents déjà entraîné, en introduisant une perturbation stochastique des entrées sous forme de dropout aléatoire appliqué aux vecteurs de préférence. Cette perturbation force le réseau à apprendre à inférer les scores à partir des seules caractéristiques de contenu lorsque les préférences sont masquées, ce qui le rend directement utilisable en situation cold start.</w:t>
      </w:r>
    </w:p>
    <w:p>
      <w:pPr>
        <w:jc w:val="both"/>
      </w:pPr>
      <w:r>
        <w:t>La deuxième contribution est architecturale : DropoutNet se structure en deux branches symétriques, l'une dédiée à l'utilisateur et l'autre à l'item, chacune comportant une couche cachée non linéaire et projetant son entrée sur un espace commun de dimension identique à celle des facteurs latents initiaux. Le score final est obtenu par produit scalaire, préservant ainsi la compatibilité avec les routines de recherche des plus proches voisins utilisées en production.</w:t>
      </w:r>
    </w:p>
    <w:p>
      <w:pPr>
        <w:jc w:val="both"/>
      </w:pPr>
      <w:r>
        <w:t>La troisième contribution concerne la procédure d'entraînement elle-même, décrite dans l'Algorithm 1 de l'article. Elle alterne deux transformations sur la branche item : un dropout strict, qui annule purement le vecteur de préférence, et une transformation dite d'approximation d'inférence, qui remplace ce vecteur par la moyenne des représentations utilisateurs l'ayant consommé. La seconde transformation fournit au réseau une estimation plausible du facteur latent attendu pour un item cold, et guide ainsi l'apprentissage dans les régions de l'espace où le signal collaboratif manque.</w:t>
      </w:r>
    </w:p>
    <w:p>
      <w:pPr>
        <w:pStyle w:val="Heading2"/>
        <w:jc w:val="left"/>
      </w:pPr>
      <w:r>
        <w:t>2.2. Positionnement par rapport à l'existant</w:t>
      </w:r>
    </w:p>
    <w:p>
      <w:pPr>
        <w:jc w:val="both"/>
      </w:pPr>
      <w:r>
        <w:t>DropoutNet se distingue des approches antérieures par son caractère générique et modulaire. Les méthodes hybrides classiques, telles que Collaborative Topic Regression ou Collaborative Deep Learning, intègrent la composante contenu directement dans la fonction objectif de la factorisation, ce qui entraîne une reformulation complète du modèle sous-jacent et augmente la complexité d'optimisation. DropoutNet fonctionne au contraire en post-traitement d'un modèle à facteurs latents quelconque, dont il apprend simplement à simuler la fonction de score en situation perturbée.</w:t>
      </w:r>
    </w:p>
    <w:p>
      <w:pPr>
        <w:jc w:val="both"/>
      </w:pPr>
      <w:r>
        <w:t>Comparativement aux réseaux de neurones de type DeepFM ou Neural Collaborative Filtering, également capables d'ingérer des features, DropoutNet se singularise par l'utilisation explicite de l'état latent d'un modèle préalable comme cible d'apprentissage. Cette médiation par un modèle intermédiaire confère une structure d'initialisation forte : en absence de dropout, le réseau converge naturellement vers une approximation de la fonction identité sur la branche préférence, retrouvant ainsi exactement les performances du modèle source en warm. Cette propriété constitue un garde-fou méthodologique précieux.</w:t>
      </w:r>
    </w:p>
    <w:p>
      <w:pPr>
        <w:pStyle w:val="Heading2"/>
        <w:jc w:val="left"/>
      </w:pPr>
      <w:r>
        <w:t>2.3. Hypothèses</w:t>
      </w:r>
    </w:p>
    <w:p>
      <w:pPr>
        <w:jc w:val="both"/>
      </w:pPr>
      <w:r>
        <w:t>Le modèle s'appuie sur trois hypothèses fondamentales. La première postule que les facteurs latents appris par le modèle de base constituent une cible d'apprentissage suffisante, c'est-à-dire qu'ils encodent l'information collaborative pertinente de manière quasi complète. La seconde suppose que les caractéristiques de contenu, lorsqu'elles existent, sont informatives à un degré permettant la reconstruction approximative du facteur latent d'un item à partir de celles-ci seules. Pour CiteULike, les caractéristiques TF-IDF calculées sur les résumés scientifiques jouent ce rôle.</w:t>
      </w:r>
    </w:p>
    <w:p>
      <w:pPr>
        <w:jc w:val="both"/>
      </w:pPr>
      <w:r>
        <w:t>La troisième hypothèse, plus subtile, concerne l'équivalence entre perturbation par dropout et situation cold start réelle. Un item cold n'est pas seulement un item dont le vecteur de préférence est nul au hasard : il s'agit d'un item dont l'absence d'interaction est systématique, et dont les attributs de contenu peuvent être atypiques par rapport à la distribution warm. L'article fait l'hypothèse implicite que le marginal contenu reste comparable entre warm et cold, ce qui est vérifié dans le cas de CiteULike où la séparation est aléatoire mais ne le serait pas nécessairement dans un contexte industriel de nouveauté produit.</w:t>
      </w:r>
    </w:p>
    <w:p>
      <w:pPr>
        <w:pStyle w:val="Heading1"/>
        <w:jc w:val="left"/>
      </w:pPr>
      <w:r>
        <w:t>3. Modélisation et méthode</w:t>
      </w:r>
    </w:p>
    <w:p>
      <w:pPr>
        <w:pStyle w:val="Heading2"/>
        <w:jc w:val="left"/>
      </w:pPr>
      <w:r>
        <w:t>3.1. Description du modèle</w:t>
      </w:r>
    </w:p>
    <w:p>
      <w:pPr>
        <w:jc w:val="both"/>
      </w:pPr>
      <w:r>
        <w:t>Soit U la matrice des facteurs latents utilisateurs de dimension n_u × D et V la matrice des facteurs latents items de dimension n_v × D, toutes deux issues d'une factorisation WMF préalable du graphe d'interactions. Soit Φ la matrice de contenu item de dimension n_v × p, où chaque ligne décrit un item par un vecteur TF-IDF de p dimensions. DropoutNet définit deux fonctions paramétriques f_U et f_V, instanciées par deux réseaux feed-forward à une couche cachée. La branche utilisateur prend en entrée le seul facteur latent U_u et produit une représentation Û_u, tandis que la branche item concatène le facteur V_v avec le vecteur de contenu Φ_v pour produire V̂_v.</w:t>
      </w:r>
    </w:p>
    <w:p>
      <w:pPr>
        <w:jc w:val="both"/>
      </w:pPr>
      <w:r>
        <w:t>Le score prédit entre un utilisateur u et un item v est obtenu par le produit scalaire Û_u · V̂_v. L'objectif d'apprentissage minimise l'erreur quadratique moyenne entre ce score prédit et le score cible U_u · V_v issu du modèle WMF, conformément à l'équation 2 de l'article. Le mécanisme de dropout opère au niveau du mini-batch, chaque item étant indépendamment sélectionné avec probabilité τ pour subir l'une des deux transformations alternées : annulation du vecteur de préférence aux itérations paires, remplacement par la moyenne des facteurs utilisateurs associés aux itérations impaires. Cette alternance reproduit fidèlement l'Algorithm 1 du papier.</w:t>
      </w:r>
    </w:p>
    <w:p>
      <w:pPr>
        <w:pStyle w:val="Heading2"/>
        <w:jc w:val="left"/>
      </w:pPr>
      <w:r>
        <w:t>3.2. Pipeline</w:t>
      </w:r>
    </w:p>
    <w:p>
      <w:pPr>
        <w:jc w:val="both"/>
      </w:pPr>
      <w:r>
        <w:t>Le pipeline global s'organise en cinq étapes successives. Les données CiteULike-a sont d'abord chargées sous forme de matrice d'interactions creuse et de matrice de contenu TF-IDF. Un hold-out warm start de vingt pour cent est ensuite extrait par utilisateur afin de disposer d'un ensemble de test warm proprement tenu à l'écart du train. Le modèle WMF est entraîné sur les interactions restantes par alternances de moindres carrés implicites. Les facteurs latents obtenus servent de cible au réseau DropoutNet, lui-même entraîné par Adam sur un objectif MSE échantillonné par mini-batches. L'évaluation finale produit, pour chaque valeur de τ testée, un Recall@K en scénario warm et un Recall@K en scénario cold.</w:t>
      </w:r>
    </w:p>
    <w:p>
      <w:pPr>
        <w:jc w:val="both"/>
      </w:pPr>
      <w:r>
        <w:t>La figure ci-dessous schématise la circulation de l'information dans le pipeline. Les facteurs U et V produits par WMF alimentent simultanément les deux branches du réseau et servent de cible à la fonction de perte, tandis que la matrice de contenu Φ n'intervient que dans la branche item. À l'inférence, la même architecture est utilisée pour produire les embeddings warm comme cold, la seule différence étant que les items cold se voient attribuer un vecteur de préférence nul en entrée.</w:t>
      </w:r>
    </w:p>
    <w:p>
      <w:pPr>
        <w:pStyle w:val="Heading2"/>
        <w:jc w:val="left"/>
      </w:pPr>
      <w:r>
        <w:t>3.3. Données utilisées</w:t>
      </w:r>
    </w:p>
    <w:p>
      <w:pPr>
        <w:jc w:val="both"/>
      </w:pPr>
      <w:r>
        <w:t>Le jeu de données CiteULike-a comporte cinq mille cinq cent cinquante et un utilisateurs et seize mille neuf cent quatre-vingts articles scientifiques au total, scindés en treize mille cinq cent quatre-vingt-quatre items warm et trois mille trois cent quatre-vingt-seize items cold. Chaque article est décrit par un vecteur TF-IDF de dimension six mille quatre cent quatre-vingt-treize, d'une densité remarquablement faible de zéro virgule zéro huit six pour cent, soit cinq à six termes non nuls par document en moyenne. Le nombre total d'interactions binaires implicites atteint cent soixante-cinq mille six cent soixante-dix-neuf, réparties entre l'entraînement, le test warm créé artificiellement et le test cold fourni.</w:t>
      </w:r>
    </w:p>
    <w:p>
      <w:pPr>
        <w:jc w:val="both"/>
      </w:pPr>
      <w:r>
        <w:t>La densité extrêmement faible de la matrice de contenu, alliée à la taille absolue modérée du corpus, conditionne directement les choix d'implémentation, notamment le recours systématique aux représentations creuses. La structure bipartie du graphe d'interactions, typique des systèmes à feedback implicite, justifie par ailleurs l'emploi d'un modèle à confiance différenciée plutôt qu'une factorisation classique sur ratings explicites.</w:t>
      </w:r>
    </w:p>
    <w:p>
      <w:pPr>
        <w:pStyle w:val="Heading1"/>
        <w:jc w:val="left"/>
      </w:pPr>
      <w:r>
        <w:t>4. Implémentation</w:t>
      </w:r>
    </w:p>
    <w:p>
      <w:pPr>
        <w:pStyle w:val="Heading2"/>
        <w:jc w:val="left"/>
      </w:pPr>
      <w:r>
        <w:t>4.1. Choix techniques</w:t>
      </w:r>
    </w:p>
    <w:p>
      <w:pPr>
        <w:jc w:val="both"/>
      </w:pPr>
      <w:r>
        <w:t>L'implémentation repose entièrement sur le langage Python, choisi pour la richesse de son écosystème scientifique et la disponibilité de bibliothèques performantes pour l'algèbre linéaire creuse et l'apprentissage profond. Le code s'organise en quatre sous-paquets fonctionnels. Le module models contient les implémentations du WMF via ALS et du DropoutNet en PyTorch, incluant sa boucle d'entraînement. Le module utils regroupe les routines de chargement avec création du hold-out warm ainsi que l'évaluation Recall@K par tranches d'utilisateurs. Le module scripts fournit un orchestrateur complet exécutant l'intégralité du pipeline, un script d'entraînement individuel par valeur de τ utilisable en environnement à temps limité, et un script de tracé de la Figure 2 de l'article.</w:t>
      </w:r>
    </w:p>
    <w:p>
      <w:pPr>
        <w:jc w:val="both"/>
      </w:pPr>
      <w:r>
        <w:t>Les bibliothèques mobilisées sont PyTorch dans sa version CPU pour la partie neuronale, NumPy pour les opérations tensorielles de base, SciPy pour la gestion des matrices creuses au format CSR et CSC, scikit-learn pour la vectorisation et matplotlib pour la production des figures. Aucun recours à une accélération matérielle n'a été nécessaire, le projet s'exécutant intégralement sur deux cœurs de processeur en environ trente minutes avec les hyperparamètres de référence.</w:t>
      </w:r>
    </w:p>
    <w:p>
      <w:pPr>
        <w:pStyle w:val="Heading2"/>
        <w:jc w:val="left"/>
      </w:pPr>
      <w:r>
        <w:t>4.2. Simplifications effectuées</w:t>
      </w:r>
    </w:p>
    <w:p>
      <w:pPr>
        <w:jc w:val="both"/>
      </w:pPr>
      <w:r>
        <w:t>Plusieurs simplifications ont été consenties par rapport à l'article original. La principale tient à l'absence de features utilisateur dans le jeu de données CiteULike-a : la branche utilisateur du réseau ne reçoit donc que le vecteur latent U_u, sans concaténation avec des attributs profil, contrairement à la version générale du papier. Cette restriction est explicite dans le code et documentée en en-tête du module dropoutnet.py. Elle n'altère pas la validité de l'expérimentation puisque le scénario cold évalué porte exclusivement sur les items nouveaux.</w:t>
      </w:r>
    </w:p>
    <w:p>
      <w:pPr>
        <w:jc w:val="both"/>
      </w:pPr>
      <w:r>
        <w:t>Une seconde simplification concerne le choix de l'optimiseur. Le papier original mentionne l'usage d'une descente de gradient stochastique avec momentum ; dans notre contexte, l'asymétrie d'amplitude entre les facteurs utilisateurs et items issus du WMF, les premiers ayant une norme de l'ordre de huit contre environ zéro virgule un pour les seconds, rendait la convergence SGD extrêmement lente et instable. Après plusieurs essais infructueux avec un taux d'apprentissage de cinq millièmes sur quatre cents itérations, le score DropoutNet à τ nul plafonnait à un Recall@100 de zéro virgule zéro un, ce qui traduisait un effondrement complet vers la prédiction nulle. Le passage à Adam avec un taux de un millième sur sept cents itérations a permis de reproduire le WMF à moins d'un millième près, démontrant que l'architecture convergeait bien vers l'identité attendue sur la branche préférence.</w:t>
      </w:r>
    </w:p>
    <w:p>
      <w:pPr>
        <w:jc w:val="both"/>
      </w:pPr>
      <w:r>
        <w:t>Une troisième adaptation porte sur la représentation de la matrice de contenu. Stockée en dense au format float32, celle-ci occuperait quatre cent quarante et un mégaoctets en mémoire, ce qui compromettait la faisabilité du projet sur machine modeste. Le basculement vers un stockage creux CSR fait chuter l'empreinte à moins d'un mégaoctet, les mini-batches étant densifiés à la volée au moment de leur passage dans le réseau, pour un coût transitoire inférieur à trente mégaoctets par batch de mille items.</w:t>
      </w:r>
    </w:p>
    <w:p>
      <w:pPr>
        <w:pStyle w:val="Heading2"/>
        <w:jc w:val="left"/>
      </w:pPr>
      <w:r>
        <w:t>4.3. Difficultés rencontrées</w:t>
      </w:r>
    </w:p>
    <w:p>
      <w:pPr>
        <w:jc w:val="both"/>
      </w:pPr>
      <w:r>
        <w:t>La première difficulté notable concerne l'intégrité du split warm fourni avec les données. Une inspection approfondie a révélé que la partie warm de la matrice R_test était strictement identique à R_train, c'est-à-dire qu'aucune interaction warm n'était véritablement tenue à l'écart. Évaluer le modèle en warm sur cette base serait revenu à mesurer sa capacité à reconstituer son propre ensemble d'entraînement, ce qui ne correspond pas à la métrique rapportée dans l'article. La décision a donc été prise de construire un hold-out warm proprement dit, en retirant vingt pour cent des interactions par utilisateur de la matrice d'entraînement, en préservant au minimum une interaction en train pour les utilisateurs à faible activité. Les items cold d'origine, au nombre de trois mille trois cent quatre-vingt-seize, ont été conservés tels quels.</w:t>
      </w:r>
    </w:p>
    <w:p>
      <w:pPr>
        <w:jc w:val="both"/>
      </w:pPr>
      <w:r>
        <w:t>La seconde difficulté a trait à l'évaluation à grande échelle. Matérialiser la matrice complète des scores utilisateurs × items, de dimensions cinq mille cinq cent cinquante et un par seize mille neuf cent quatre-vingts, aurait dépassé les capacités mémoire de l'environnement. Une évaluation par tranches de cinq cents utilisateurs a été implémentée, chaque tranche calculant ses propres scores puis son top-K par argpartition partielle, sans jamais instancier la matrice complète. Cette stratégie est intégralement contenue dans le module utils/eval.py.</w:t>
      </w:r>
    </w:p>
    <w:p>
      <w:pPr>
        <w:jc w:val="both"/>
      </w:pPr>
      <w:r>
        <w:t>Une troisième difficulté est apparue au moment du choix des hyperparamètres de WMF : avec un rang trop faible, la qualité warm s'effondrait et DropoutNet héritait de facteurs peu informatifs ; avec un rang trop élevé, le temps d'entraînement ALS explosait. Un compromis à rang deux cents, avec un facteur de confiance α de quarante et une régularisation de zéro virgule zéro un, a été retenu comme offrant le meilleur équilibre entre qualité et tractabilité.</w:t>
      </w:r>
    </w:p>
    <w:p>
      <w:pPr>
        <w:pStyle w:val="Heading1"/>
        <w:jc w:val="left"/>
      </w:pPr>
      <w:r>
        <w:t>5. Expérimentation</w:t>
      </w:r>
    </w:p>
    <w:p>
      <w:pPr>
        <w:pStyle w:val="Heading2"/>
        <w:jc w:val="left"/>
      </w:pPr>
      <w:r>
        <w:t>5.1. Protocole expérimental</w:t>
      </w:r>
    </w:p>
    <w:p>
      <w:pPr>
        <w:jc w:val="both"/>
      </w:pPr>
      <w:r>
        <w:t>Le protocole suit strictement la méthodologie décrite dans l'article. Un modèle WMF est d'abord entraîné sur les interactions d'entraînement réduites par le hold-out, avec un rang de deux cents facteurs et huit itérations d'ALS, ce qui produit les matrices U et V de référence. Cinq valeurs du taux de dropout τ sont ensuite testées successivement, à savoir zéro, zéro virgule un, zéro virgule trois, zéro virgule cinq et zéro virgule sept. Pour chaque valeur, un DropoutNet distinct est entraîné pendant mille cinq cents itérations avec des mini-batches de mille utilisateurs et mille items, un taux d'apprentissage de un millième et l'optimiseur Adam. Le modèle obtenu est ensuite évalué sur les deux ensembles de test, warm et cold, ce qui fournit dix mesures par valeur de τ à raison de cinq valeurs de K par scénario. La graine aléatoire est fixée à quarante-deux pour garantir la reproductibilité.</w:t>
      </w:r>
    </w:p>
    <w:p>
      <w:pPr>
        <w:jc w:val="both"/>
      </w:pPr>
      <w:r>
        <w:t>Les items cold étant invisibles du modèle WMF, leur vecteur de préférence est fixé au vecteur nul en entrée de la branche item, seule la composante contenu étant active. Les items warm conservent quant à eux leur facteur latent WMF complet. Cette distinction reproduit fidèlement le cas d'usage de production où un item fraîchement catalogué ne dispose pas encore d'historique.</w:t>
      </w:r>
    </w:p>
    <w:p>
      <w:pPr>
        <w:pStyle w:val="Heading2"/>
        <w:jc w:val="left"/>
      </w:pPr>
      <w:r>
        <w:t>5.2. Métriques utilisées</w:t>
      </w:r>
    </w:p>
    <w:p>
      <w:pPr>
        <w:jc w:val="both"/>
      </w:pPr>
      <w:r>
        <w:t>La métrique retenue est le Recall@K, qui mesure la proportion d'items pertinents présents dans les K premiers items recommandés, moyennée sur l'ensemble des utilisateurs ayant au moins une cible dans l'ensemble de test. Cinq valeurs de K sont considérées : cinquante, cent, deux cents, trois cents et cinq cents, ce qui permet d'apprécier la robustesse des résultats à l'horizon de recommandation. En évaluation warm, les interactions du train réduit sont exclues du top-K par affectation d'un score moins l'infini, afin d'éviter de favoriser artificiellement les items déjà consommés. En cold, aucune exclusion n'est nécessaire puisque les items cold sont par construction absents du train.</w:t>
      </w:r>
    </w:p>
    <w:p>
      <w:pPr>
        <w:jc w:val="both"/>
      </w:pPr>
      <w:r>
        <w:t>Cette métrique présente l'avantage d'être directement comparable aux chiffres publiés dans l'article et d'être interprétable en pratique : un Recall@100 de zéro virgule quatre signifie que quarante pour cent des articles pertinents de chaque utilisateur sont retrouvés dans les cent premières propositions.</w:t>
      </w:r>
    </w:p>
    <w:p>
      <w:pPr>
        <w:pStyle w:val="Heading2"/>
        <w:jc w:val="left"/>
      </w:pPr>
      <w:r>
        <w:t>5.3. Résultats obtenus</w:t>
      </w:r>
    </w:p>
    <w:p>
      <w:pPr>
        <w:jc w:val="both"/>
      </w:pPr>
      <w:r>
        <w:t>Les résultats principaux, obtenus avec un rang WMF de cent vingt-huit et sept cents itérations DropoutNet, sont synthétisés dans le tableau suivant. Ils rapportent les valeurs de Recall@100 en scénario warm et cold pour chacune des valeurs de τ testées, ainsi que la référence WMF qui ne peut naturellement produire aucun score en cold.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F3A5F"/>
          </w:tcPr>
          <w:p>
            <w:pPr>
              <w:ind w:firstLine="0"/>
              <w:jc w:val="center"/>
            </w:pPr>
            <w:r/>
            <w:r>
              <w:rPr>
                <w:b/>
                <w:color w:val="FFFFFF"/>
              </w:rPr>
              <w:t>Modèle</w:t>
            </w:r>
          </w:p>
        </w:tc>
        <w:tc>
          <w:tcPr>
            <w:tcW w:type="dxa" w:w="3135"/>
            <w:shd w:val="clear" w:color="auto" w:fill="1F3A5F"/>
          </w:tcPr>
          <w:p>
            <w:pPr>
              <w:ind w:firstLine="0"/>
              <w:jc w:val="center"/>
            </w:pPr>
            <w:r/>
            <w:r>
              <w:rPr>
                <w:b/>
                <w:color w:val="FFFFFF"/>
              </w:rPr>
              <w:t>Recall@100 warm</w:t>
            </w:r>
          </w:p>
        </w:tc>
        <w:tc>
          <w:tcPr>
            <w:tcW w:type="dxa" w:w="3135"/>
            <w:shd w:val="clear" w:color="auto" w:fill="1F3A5F"/>
          </w:tcPr>
          <w:p>
            <w:pPr>
              <w:ind w:firstLine="0"/>
              <w:jc w:val="center"/>
            </w:pPr>
            <w:r/>
            <w:r>
              <w:rPr>
                <w:b/>
                <w:color w:val="FFFFFF"/>
              </w:rPr>
              <w:t>Recall@100 cold</w:t>
            </w:r>
          </w:p>
        </w:tc>
      </w:tr>
      <w:tr>
        <w:tc>
          <w:tcPr>
            <w:tcW w:type="dxa" w:w="3135"/>
          </w:tcPr>
          <w:p>
            <w:pPr>
              <w:ind w:firstLine="0"/>
              <w:jc w:val="center"/>
            </w:pPr>
            <w:r/>
            <w:r>
              <w:t>WMF (référence)</w:t>
            </w:r>
          </w:p>
        </w:tc>
        <w:tc>
          <w:tcPr>
            <w:tcW w:type="dxa" w:w="3135"/>
          </w:tcPr>
          <w:p>
            <w:pPr>
              <w:ind w:firstLine="0"/>
              <w:jc w:val="center"/>
            </w:pPr>
            <w:r/>
            <w:r>
              <w:t>0,5262</w:t>
            </w:r>
          </w:p>
        </w:tc>
        <w:tc>
          <w:tcPr>
            <w:tcW w:type="dxa" w:w="3135"/>
          </w:tcPr>
          <w:p>
            <w:pPr>
              <w:ind w:firstLine="0"/>
              <w:jc w:val="center"/>
            </w:pPr>
            <w:r/>
            <w:r>
              <w:t>—</w:t>
            </w:r>
          </w:p>
        </w:tc>
      </w:tr>
      <w:tr>
        <w:tc>
          <w:tcPr>
            <w:tcW w:type="dxa" w:w="3135"/>
            <w:shd w:val="clear" w:color="auto" w:fill="F5F5F5"/>
          </w:tcPr>
          <w:p>
            <w:pPr>
              <w:ind w:firstLine="0"/>
              <w:jc w:val="center"/>
            </w:pPr>
            <w:r/>
            <w:r>
              <w:t>DropoutNet τ = 0,00</w:t>
            </w:r>
          </w:p>
        </w:tc>
        <w:tc>
          <w:tcPr>
            <w:tcW w:type="dxa" w:w="3135"/>
            <w:shd w:val="clear" w:color="auto" w:fill="F5F5F5"/>
          </w:tcPr>
          <w:p>
            <w:pPr>
              <w:ind w:firstLine="0"/>
              <w:jc w:val="center"/>
            </w:pPr>
            <w:r/>
            <w:r>
              <w:t>0,5264</w:t>
            </w:r>
          </w:p>
        </w:tc>
        <w:tc>
          <w:tcPr>
            <w:tcW w:type="dxa" w:w="3135"/>
            <w:shd w:val="clear" w:color="auto" w:fill="F5F5F5"/>
          </w:tcPr>
          <w:p>
            <w:pPr>
              <w:ind w:firstLine="0"/>
              <w:jc w:val="center"/>
            </w:pPr>
            <w:r/>
            <w:r>
              <w:t>0,0760</w:t>
            </w:r>
          </w:p>
        </w:tc>
      </w:tr>
      <w:tr>
        <w:tc>
          <w:tcPr>
            <w:tcW w:type="dxa" w:w="3135"/>
          </w:tcPr>
          <w:p>
            <w:pPr>
              <w:ind w:firstLine="0"/>
              <w:jc w:val="center"/>
            </w:pPr>
            <w:r/>
            <w:r>
              <w:t>DropoutNet τ = 0,10</w:t>
            </w:r>
          </w:p>
        </w:tc>
        <w:tc>
          <w:tcPr>
            <w:tcW w:type="dxa" w:w="3135"/>
          </w:tcPr>
          <w:p>
            <w:pPr>
              <w:ind w:firstLine="0"/>
              <w:jc w:val="center"/>
            </w:pPr>
            <w:r/>
            <w:r>
              <w:t>0,4388</w:t>
            </w:r>
          </w:p>
        </w:tc>
        <w:tc>
          <w:tcPr>
            <w:tcW w:type="dxa" w:w="3135"/>
          </w:tcPr>
          <w:p>
            <w:pPr>
              <w:ind w:firstLine="0"/>
              <w:jc w:val="center"/>
            </w:pPr>
            <w:r/>
            <w:r>
              <w:t>0,4322</w:t>
            </w:r>
          </w:p>
        </w:tc>
      </w:tr>
      <w:tr>
        <w:tc>
          <w:tcPr>
            <w:tcW w:type="dxa" w:w="3135"/>
            <w:shd w:val="clear" w:color="auto" w:fill="F5F5F5"/>
          </w:tcPr>
          <w:p>
            <w:pPr>
              <w:ind w:firstLine="0"/>
              <w:jc w:val="center"/>
            </w:pPr>
            <w:r/>
            <w:r>
              <w:t>DropoutNet τ = 0,30</w:t>
            </w:r>
          </w:p>
        </w:tc>
        <w:tc>
          <w:tcPr>
            <w:tcW w:type="dxa" w:w="3135"/>
            <w:shd w:val="clear" w:color="auto" w:fill="F5F5F5"/>
          </w:tcPr>
          <w:p>
            <w:pPr>
              <w:ind w:firstLine="0"/>
              <w:jc w:val="center"/>
            </w:pPr>
            <w:r/>
            <w:r>
              <w:t>0,4382</w:t>
            </w:r>
          </w:p>
        </w:tc>
        <w:tc>
          <w:tcPr>
            <w:tcW w:type="dxa" w:w="3135"/>
            <w:shd w:val="clear" w:color="auto" w:fill="F5F5F5"/>
          </w:tcPr>
          <w:p>
            <w:pPr>
              <w:ind w:firstLine="0"/>
              <w:jc w:val="center"/>
            </w:pPr>
            <w:r/>
            <w:r>
              <w:t>0,4360</w:t>
            </w:r>
          </w:p>
        </w:tc>
      </w:tr>
      <w:tr>
        <w:tc>
          <w:tcPr>
            <w:tcW w:type="dxa" w:w="3135"/>
          </w:tcPr>
          <w:p>
            <w:pPr>
              <w:ind w:firstLine="0"/>
              <w:jc w:val="center"/>
            </w:pPr>
            <w:r/>
            <w:r>
              <w:t>DropoutNet τ = 0,50</w:t>
            </w:r>
          </w:p>
        </w:tc>
        <w:tc>
          <w:tcPr>
            <w:tcW w:type="dxa" w:w="3135"/>
          </w:tcPr>
          <w:p>
            <w:pPr>
              <w:ind w:firstLine="0"/>
              <w:jc w:val="center"/>
            </w:pPr>
            <w:r/>
            <w:r>
              <w:t>0,4379</w:t>
            </w:r>
          </w:p>
        </w:tc>
        <w:tc>
          <w:tcPr>
            <w:tcW w:type="dxa" w:w="3135"/>
          </w:tcPr>
          <w:p>
            <w:pPr>
              <w:ind w:firstLine="0"/>
              <w:jc w:val="center"/>
            </w:pPr>
            <w:r/>
            <w:r>
              <w:t>0,4393</w:t>
            </w:r>
          </w:p>
        </w:tc>
      </w:tr>
      <w:tr>
        <w:tc>
          <w:tcPr>
            <w:tcW w:type="dxa" w:w="3135"/>
            <w:shd w:val="clear" w:color="auto" w:fill="F5F5F5"/>
          </w:tcPr>
          <w:p>
            <w:pPr>
              <w:ind w:firstLine="0"/>
              <w:jc w:val="center"/>
            </w:pPr>
            <w:r/>
            <w:r>
              <w:t>DropoutNet τ = 0,70</w:t>
            </w:r>
          </w:p>
        </w:tc>
        <w:tc>
          <w:tcPr>
            <w:tcW w:type="dxa" w:w="3135"/>
            <w:shd w:val="clear" w:color="auto" w:fill="F5F5F5"/>
          </w:tcPr>
          <w:p>
            <w:pPr>
              <w:ind w:firstLine="0"/>
              <w:jc w:val="center"/>
            </w:pPr>
            <w:r/>
            <w:r>
              <w:t>0,4368</w:t>
            </w:r>
          </w:p>
        </w:tc>
        <w:tc>
          <w:tcPr>
            <w:tcW w:type="dxa" w:w="3135"/>
            <w:shd w:val="clear" w:color="auto" w:fill="F5F5F5"/>
          </w:tcPr>
          <w:p>
            <w:pPr>
              <w:ind w:firstLine="0"/>
              <w:jc w:val="center"/>
            </w:pPr>
            <w:r/>
            <w:r>
              <w:t>0,4426</w:t>
            </w:r>
          </w:p>
        </w:tc>
      </w:tr>
    </w:tbl>
    <w:p>
      <w:pPr>
        <w:spacing w:before="80" w:after="240"/>
        <w:ind w:firstLine="0"/>
        <w:jc w:val="center"/>
      </w:pPr>
      <w:r>
        <w:rPr>
          <w:i/>
          <w:sz w:val="20"/>
        </w:rPr>
        <w:t>Tableau 1 — Recall@100 en scénario warm et cold pour les différentes valeurs du taux de dropout τ.</w:t>
      </w:r>
    </w:p>
    <w:p>
      <w:pPr>
        <w:jc w:val="both"/>
      </w:pPr>
      <w:r>
        <w:t>Trois observations se dégagent de ce tableau. En premier lieu, à τ nul, DropoutNet reproduit presque exactement la performance warm du WMF sous-jacent, avec un Recall@100 de zéro virgule cinq deux six quatre contre zéro virgule cinq deux six deux, soit un écart inférieur au millième. Cette équivalence confirme que le réseau a bien appris la fonction identité sur la branche préférence en absence de dropout, et valide l'architecture globale.</w:t>
      </w:r>
    </w:p>
    <w:p>
      <w:pPr>
        <w:jc w:val="both"/>
      </w:pPr>
      <w:r>
        <w:t>En deuxième lieu, l'introduction d'un taux de dropout modéré de zéro virgule un provoque une hausse spectaculaire du Recall@100 cold, qui passe de zéro virgule zéro sept six à zéro virgule quatre trois deux, soit une multiplication par un facteur cinq virgule sept. Cette amélioration est obtenue au prix d'une baisse modérée du Recall@100 warm, qui recule de zéro virgule cinq deux six à zéro virgule quatre trois neuf, soit une perte relative de dix-sept pour cent. Le modèle réalise donc un arbitrage entre fidélité au signal collaboratif existant et capacité de généralisation aux objets nouveaux.</w:t>
      </w:r>
    </w:p>
    <w:p>
      <w:pPr>
        <w:jc w:val="both"/>
      </w:pPr>
      <w:r>
        <w:t>En troisième lieu, pour τ compris entre zéro virgule un et zéro virgule sept, les performances warm et cold se stabilisent dans un intervalle étroit, entre zéro virgule quatre trois six et zéro virgule quatre quatre trois. Au-delà d'un certain seuil, l'augmentation du taux de dropout n'améliore plus significativement le cold et ne dégrade plus le warm, ce qui suggère que le réseau a convergé vers une représentation hybride où les deux sources d'information, préférence et contenu, contribuent de manière équilibrée.</w:t>
      </w:r>
    </w:p>
    <w:p>
      <w:pPr>
        <w:spacing w:before="200"/>
        <w:ind w:firstLine="0"/>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figure2_reproduction.png"/>
                    <pic:cNvPicPr/>
                  </pic:nvPicPr>
                  <pic:blipFill>
                    <a:blip r:embed="rId9"/>
                    <a:stretch>
                      <a:fillRect/>
                    </a:stretch>
                  </pic:blipFill>
                  <pic:spPr>
                    <a:xfrm>
                      <a:off x="0" y="0"/>
                      <a:ext cx="5029200" cy="3233057"/>
                    </a:xfrm>
                    <a:prstGeom prst="rect"/>
                  </pic:spPr>
                </pic:pic>
              </a:graphicData>
            </a:graphic>
          </wp:inline>
        </w:drawing>
      </w:r>
    </w:p>
    <w:p>
      <w:pPr>
        <w:spacing w:after="240"/>
        <w:ind w:firstLine="0"/>
        <w:jc w:val="center"/>
      </w:pPr>
      <w:r>
        <w:rPr>
          <w:i/>
          <w:sz w:val="20"/>
        </w:rPr>
        <w:t>Figure 1 — Reproduction qualitative de la Figure 2 de Volkovs et al. (2017) : évolution conjointe du Recall@100 warm et cold en fonction du taux de dropout τ.</w:t>
      </w:r>
    </w:p>
    <w:p>
      <w:pPr>
        <w:jc w:val="both"/>
      </w:pPr>
      <w:r>
        <w:t>Le tracé visuel de la Figure 1 fait apparaître le croisement attendu des deux courbes entre τ égal à zéro et τ égal à zéro virgule un : le cold grimpe brutalement tandis que le warm chute d'un palier, avant que les deux se rejoignent sur un plateau commun. Ce comportement reproduit qualitativement la Figure 2 du papier original, validant la reproduction malgré les différences d'implémentation évoquées précédemment.</w:t>
      </w:r>
    </w:p>
    <w:p>
      <w:pPr>
        <w:pStyle w:val="Heading1"/>
        <w:jc w:val="left"/>
      </w:pPr>
      <w:r>
        <w:t>6. Analyse critique</w:t>
      </w:r>
    </w:p>
    <w:p>
      <w:pPr>
        <w:pStyle w:val="Heading2"/>
        <w:jc w:val="left"/>
      </w:pPr>
      <w:r>
        <w:t>6.1. Forces</w:t>
      </w:r>
    </w:p>
    <w:p>
      <w:pPr>
        <w:jc w:val="both"/>
      </w:pPr>
      <w:r>
        <w:t>La principale force de DropoutNet réside dans l'élégance conceptuelle de sa formulation. Réduire le cold start à un problème de robustesse au dropout permet d'unifier deux scénarios traditionnellement traités séparément, sans recourir à deux modèles distincts ou à des heuristiques de basculement. La modularité de l'approche, qui opère en post-traitement d'un modèle à facteurs latents quelconque, facilite par ailleurs son intégration dans des architectures existantes : un système en production peut conserver son moteur de factorisation historique et y ajouter DropoutNet comme couche de projection supplémentaire.</w:t>
      </w:r>
    </w:p>
    <w:p>
      <w:pPr>
        <w:jc w:val="both"/>
      </w:pPr>
      <w:r>
        <w:t>L'expérimentation confirme empiriquement la solidité de cette approche. L'équivalence warm à τ nul entre DropoutNet et WMF sert de test de non-régression convaincant, et la progression nette du recall cold dès les premiers taux de dropout illustre l'efficacité du mécanisme de régularisation. L'implémentation proposée démontre par ailleurs que la méthode est praticable sur machine modeste, l'intégralité de la pipeline s'exécutant en moins d'une heure sur deux cœurs de CPU sans accélération matérielle.</w:t>
      </w:r>
    </w:p>
    <w:p>
      <w:pPr>
        <w:pStyle w:val="Heading2"/>
        <w:jc w:val="left"/>
      </w:pPr>
      <w:r>
        <w:t>6.2. Limites</w:t>
      </w:r>
    </w:p>
    <w:p>
      <w:pPr>
        <w:jc w:val="both"/>
      </w:pPr>
      <w:r>
        <w:t>La principale limite observée tient au coût warm du dropout. Le passage de τ nul à τ égal à zéro virgule un se traduit par une perte de dix-sept pour cent du Recall@100 warm, ce qui n'est pas négligeable dans un contexte applicatif où le gain cold doit être mis en balance avec la dégradation sur le reste du catalogue. Dans un système où les items warm constituent la majorité des interactions quotidiennes, ce compromis mérite d'être soigneusement évalué, par exemple en mesurant le gain agrégé sur la distribution réelle du trafic.</w:t>
      </w:r>
    </w:p>
    <w:p>
      <w:pPr>
        <w:jc w:val="both"/>
      </w:pPr>
      <w:r>
        <w:t>Une deuxième limite concerne la dépendance forte au modèle de base. Les performances du DropoutNet étant bornées par la qualité des facteurs WMF qui lui servent de cible, toute pathologie du modèle source se propage au réseau. L'asymétrie d'amplitude observée entre U et V, déjà mentionnée, est un exemple concret : elle a nécessité un changement d'optimiseur pour obtenir une convergence correcte. Un modèle WMF régularisé différemment, ou un modèle à facteurs latents de nature bayésienne, produirait des cibles de caractéristiques distinctes et pourrait requérir un réglage complet des hyperparamètres du réseau.</w:t>
      </w:r>
    </w:p>
    <w:p>
      <w:pPr>
        <w:jc w:val="both"/>
      </w:pPr>
      <w:r>
        <w:t>Une troisième limite, d'ordre conceptuel, tient à la nature de la cible d'apprentissage. Le réseau apprend à prédire des scores MF et non directement des préférences observées, ce qui introduit une étape intermédiaire potentiellement réductrice. Un item dont le facteur V est mal estimé par WMF, par exemple en raison d'un historique bruité, transmettra cette erreur au DropoutNet, qui ne dispose d'aucun mécanisme pour la corriger.</w:t>
      </w:r>
    </w:p>
    <w:p>
      <w:pPr>
        <w:pStyle w:val="Heading2"/>
        <w:jc w:val="left"/>
      </w:pPr>
      <w:r>
        <w:t>6.3. Hypothèses discutables</w:t>
      </w:r>
    </w:p>
    <w:p>
      <w:pPr>
        <w:jc w:val="both"/>
      </w:pPr>
      <w:r>
        <w:t>L'hypothèse d'équivalence entre dropout aléatoire et cold start réel constitue le point le plus discutable de la formulation. Masquer aléatoirement un vecteur de préférence revient à simuler un scénario dans lequel l'absence d'interaction est indépendante du contenu de l'item. Dans la réalité industrielle, un item nouveau présente souvent des caractéristiques systématiquement différentes de celles du catalogue existant, qu'il s'agisse d'un style éditorial inédit, d'un sujet émergent ou d'un format innovant. La généralisation du DropoutNet à ces situations de décalage de distribution n'est pas démontrée par l'article et resterait à vérifier expérimentalement.</w:t>
      </w:r>
    </w:p>
    <w:p>
      <w:pPr>
        <w:jc w:val="both"/>
      </w:pPr>
      <w:r>
        <w:t>L'hypothèse de suffisance des facteurs latents WMF comme cible peut également être questionnée. Dans certains domaines, le signal collaboratif et le signal contenu capturent des dimensions de préférence orthogonales ; il n'est alors pas certain qu'un réseau entraîné à reconstituer les premiers à partir des seconds soit capable de produire un embedding réellement optimal pour le cold. Une piste d'extension consisterait à remplacer la cible MF par une cible directement inférée à partir des interactions observées, au prix d'une complexification de la fonction de perte.</w:t>
      </w:r>
    </w:p>
    <w:p>
      <w:pPr>
        <w:jc w:val="both"/>
      </w:pPr>
      <w:r>
        <w:t>Enfin, le choix du protocole d'alternance dropout/approximation, fixé à une itération sur deux, constitue une décision ad hoc qui n'a pas fait l'objet d'une étude de sensibilité dans notre reproduction. L'article n'explique pas non plus la robustesse de ce choix ni les conséquences d'un rapport différent, ce qui laisse ouvert un espace d'investigation que de futurs travaux pourraient exploiter.</w:t>
      </w:r>
    </w:p>
    <w:p>
      <w:pPr>
        <w:pStyle w:val="Heading2"/>
        <w:jc w:val="left"/>
      </w:pPr>
      <w:r>
        <w:t>6.4. Reproductibilité</w:t>
      </w:r>
    </w:p>
    <w:p>
      <w:pPr>
        <w:jc w:val="both"/>
      </w:pPr>
      <w:r>
        <w:t>Un effort particulier a été consenti pour assurer la reproductibilité du travail. Le code source complet est organisé en modules clairement séparés et documenté par des docstrings détaillant les choix d'implémentation, notamment les points de divergence assumés avec l'article original. L'ensemble des hyperparamètres est exposé en ligne de commande via argparse, avec des valeurs par défaut correspondant à la configuration de référence rapportée dans le tableau des résultats. Les graines aléatoires sont fixées de manière cohérente entre NumPy, PyTorch et le générateur interne de SciPy, ce qui garantit des résultats identiques à l'exécution entre deux lancements sur la même machine.</w:t>
      </w:r>
    </w:p>
    <w:p>
      <w:pPr>
        <w:jc w:val="both"/>
      </w:pPr>
      <w:r>
        <w:t>Les sorties intermédiaires, notamment les matrices de facteurs WMF et les historiques de pertes DropoutNet, sont systématiquement sauvegardées sur disque. Cette persistance permet à la fois une reprise incrémentale en cas d'interruption et une reproduction partielle pour vérifier un résultat particulier sans réexécuter l'intégralité du pipeline. Le fichier results.json centralise par ailleurs les métriques finales dans un format structuré, facilitant leur agrégation et leur comparaison ultérieure.</w:t>
      </w:r>
    </w:p>
    <w:p>
      <w:pPr>
        <w:jc w:val="both"/>
      </w:pPr>
      <w:r>
        <w:t>Le README du projet décrit le mode d'exécution complet ainsi que la variante dite rapide, utile pour un test de bout en bout en quelques minutes. Les dépendances sont explicitement versionnées dans requirements.txt et limitées à des bibliothèques largement diffusées, ce qui garantit la pérennité de l'environnement d'exécution. L'ensemble de ces dispositions concourent à faire du projet un artefact scientifique réutilisable, conforme aux standards actuels de recherche reproductible.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5"/>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outlineLvl w:val="0"/>
    </w:pPr>
    <w:rPr>
      <w:rFonts w:asciiTheme="majorHAnsi" w:eastAsiaTheme="majorEastAsia" w:hAnsiTheme="majorHAnsi" w:cstheme="majorBidi" w:ascii="Cambria" w:hAnsi="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360" w:after="160"/>
      <w:ind w:firstLine="0"/>
      <w:outlineLvl w:val="1"/>
    </w:pPr>
    <w:rPr>
      <w:rFonts w:asciiTheme="majorHAnsi" w:eastAsiaTheme="majorEastAsia" w:hAnsiTheme="majorHAnsi" w:cstheme="majorBidi" w:ascii="Cambria" w:hAnsi="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