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C49AF" w14:textId="77777777" w:rsidR="00A71201" w:rsidRDefault="00A71201" w:rsidP="00A71201">
      <w:pPr>
        <w:pStyle w:val="Body"/>
      </w:pPr>
      <w:r>
        <w:t>This range is most useful in fonts intended for text-based applications, with metrics that are compatible for mixing musical symbols with text.</w:t>
      </w:r>
    </w:p>
    <w:p w14:paraId="5E339A36" w14:textId="77777777" w:rsidR="00A71201" w:rsidRPr="00A74B10" w:rsidRDefault="00A71201" w:rsidP="00A71201">
      <w:pPr>
        <w:pStyle w:val="Body"/>
      </w:pPr>
      <w:r>
        <w:t xml:space="preserve">In such a font, the precomposed note glyphs may be used for displaying metronome marks and simple metric modulations. More complex metric modulations and </w:t>
      </w:r>
      <w:proofErr w:type="spellStart"/>
      <w:r w:rsidRPr="007A742B">
        <w:rPr>
          <w:i/>
        </w:rPr>
        <w:t>l’istesso</w:t>
      </w:r>
      <w:proofErr w:type="spellEnd"/>
      <w:r w:rsidRPr="007A742B">
        <w:rPr>
          <w:i/>
        </w:rPr>
        <w:t xml:space="preserve"> tempo</w:t>
      </w:r>
      <w:r>
        <w:t xml:space="preserve"> directions may be drawn using these glyphs in conjunction with the </w:t>
      </w:r>
      <w:r w:rsidRPr="00421593">
        <w:rPr>
          <w:rFonts w:ascii="Avenir Heavy" w:hAnsi="Avenir Heavy"/>
        </w:rPr>
        <w:t>Beamed groups of notes</w:t>
      </w:r>
      <w:r>
        <w:t xml:space="preserve"> range.</w:t>
      </w:r>
    </w:p>
    <w:p w14:paraId="12924381" w14:textId="038D677B" w:rsidR="0095527F" w:rsidRPr="00A82D70" w:rsidRDefault="00A71201" w:rsidP="00A71201">
      <w:pPr>
        <w:pStyle w:val="Body"/>
      </w:pPr>
      <w:r>
        <w:t xml:space="preserve">Scoring applications should draw all notes by combining notehead glyphs — e.g. </w:t>
      </w:r>
      <w:proofErr w:type="spellStart"/>
      <w:r w:rsidRPr="007D73AD">
        <w:rPr>
          <w:rFonts w:ascii="Avenir Heavy" w:hAnsi="Avenir Heavy"/>
        </w:rPr>
        <w:t>noteheadBlack</w:t>
      </w:r>
      <w:proofErr w:type="spellEnd"/>
      <w:r>
        <w:t xml:space="preserve"> for quarter notes (crotchets) and shorter notes, </w:t>
      </w:r>
      <w:proofErr w:type="spellStart"/>
      <w:r w:rsidRPr="007D73AD">
        <w:rPr>
          <w:rFonts w:ascii="Avenir Heavy" w:hAnsi="Avenir Heavy"/>
        </w:rPr>
        <w:t>noteheadHalf</w:t>
      </w:r>
      <w:proofErr w:type="spellEnd"/>
      <w:r w:rsidRPr="00367EC0">
        <w:t xml:space="preserve"> </w:t>
      </w:r>
      <w:r>
        <w:t>for half notes (minims) — with stems drawn using primitives.</w:t>
      </w:r>
      <w:bookmarkStart w:id="0" w:name="_GoBack"/>
      <w:bookmarkEnd w:id="0"/>
    </w:p>
    <w:sectPr w:rsidR="0095527F" w:rsidRPr="00A82D70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194177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744CA1-A524-CF4B-8458-09FAC02E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626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2013-11-12T14:27:00Z</dcterms:created>
  <dcterms:modified xsi:type="dcterms:W3CDTF">2013-11-12T14:27:00Z</dcterms:modified>
  <cp:category/>
</cp:coreProperties>
</file>