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0D3F8" w14:textId="77777777" w:rsidR="000B13C1" w:rsidRDefault="000B13C1" w:rsidP="000B13C1">
      <w:pPr>
        <w:pStyle w:val="Body"/>
      </w:pPr>
      <w:r>
        <w:t>These noteheads should be combined with stems and flags as necessary to create complete notes. In text-based applications, per the Unicode Musical Symbols documentation:</w:t>
      </w:r>
    </w:p>
    <w:p w14:paraId="1F40BDD1" w14:textId="77777777" w:rsidR="000B13C1" w:rsidRDefault="000B13C1" w:rsidP="000B13C1">
      <w:pPr>
        <w:pStyle w:val="Body"/>
      </w:pPr>
      <w:r>
        <w:rPr>
          <w:noProof/>
        </w:rPr>
        <w:drawing>
          <wp:inline distT="0" distB="0" distL="0" distR="0" wp14:anchorId="4E173D5D" wp14:editId="6C9A05CE">
            <wp:extent cx="4224867" cy="2274417"/>
            <wp:effectExtent l="0" t="0" r="0" b="12065"/>
            <wp:docPr id="341" name="Picture 341" descr="Macintosh HD:Users:DSpreadbury:Desktop:Screen Shot 2013-01-30 at 15.1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acintosh HD:Users:DSpreadbury:Desktop:Screen Shot 2013-01-30 at 15.19.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"/>
                    <a:stretch/>
                  </pic:blipFill>
                  <pic:spPr bwMode="auto">
                    <a:xfrm>
                      <a:off x="0" y="0"/>
                      <a:ext cx="4225405" cy="227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C3E9" w14:textId="77777777" w:rsidR="000B13C1" w:rsidRDefault="000B13C1" w:rsidP="000B13C1">
      <w:pPr>
        <w:pStyle w:val="Body"/>
      </w:pPr>
      <w:r>
        <w:t xml:space="preserve">Scoring applications should draw stems using primitives, rather than using </w:t>
      </w:r>
      <w:r w:rsidRPr="00DF78F1">
        <w:rPr>
          <w:rFonts w:ascii="Avenir Heavy" w:hAnsi="Avenir Heavy"/>
        </w:rPr>
        <w:t>stem</w:t>
      </w:r>
      <w:r>
        <w:t xml:space="preserve"> (i.e. </w:t>
      </w:r>
      <w:r w:rsidRPr="0046572F">
        <w:t>U+1D165</w:t>
      </w:r>
      <w:r>
        <w:t xml:space="preserve"> as shown in the above image</w:t>
      </w:r>
      <w:r>
        <w:rPr>
          <w:rStyle w:val="FootnoteReference"/>
        </w:rPr>
        <w:footnoteReference w:id="1"/>
      </w:r>
      <w:r>
        <w:t>), so that they can be drawn to the correct length.</w:t>
      </w:r>
    </w:p>
    <w:p w14:paraId="12924381" w14:textId="6927A6E3" w:rsidR="0095527F" w:rsidRPr="00A82D70" w:rsidRDefault="000B13C1" w:rsidP="000B13C1">
      <w:pPr>
        <w:pStyle w:val="Body"/>
      </w:pPr>
      <w:r w:rsidRPr="00C05363">
        <w:rPr>
          <w:i/>
        </w:rPr>
        <w:t xml:space="preserve">See also </w:t>
      </w:r>
      <w:r>
        <w:t xml:space="preserve">the implementation notes for </w:t>
      </w:r>
      <w:r w:rsidRPr="0046572F">
        <w:t>flags.</w:t>
      </w:r>
      <w:bookmarkStart w:id="0" w:name="_GoBack"/>
      <w:bookmarkEnd w:id="0"/>
    </w:p>
    <w:sectPr w:rsidR="0095527F" w:rsidRPr="00A82D70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  <w:footnote w:id="1">
    <w:p w14:paraId="6BDD94B0" w14:textId="77777777" w:rsidR="000B13C1" w:rsidRDefault="000B13C1" w:rsidP="000B13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From Chapter 15 “Symbols”, </w:t>
      </w:r>
      <w:r w:rsidRPr="00AA297D">
        <w:rPr>
          <w:i/>
        </w:rPr>
        <w:t>The Unicode Standard, Version 6.2</w:t>
      </w:r>
      <w:r>
        <w:t>.</w:t>
      </w:r>
      <w:proofErr w:type="gramEnd"/>
      <w:r w:rsidRPr="00AA297D">
        <w:t xml:space="preserve"> </w:t>
      </w:r>
      <w:r>
        <w:t>Ed.</w:t>
      </w:r>
      <w:r w:rsidRPr="00AA297D">
        <w:t xml:space="preserve"> Julie D. Allen </w:t>
      </w:r>
      <w:r>
        <w:t xml:space="preserve">et al. Mountain View; The Unicode Consortium, 2012.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88BDC-F87E-9C45-BE85-560181A2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2013-11-12T14:17:00Z</dcterms:created>
  <dcterms:modified xsi:type="dcterms:W3CDTF">2013-11-12T14:17:00Z</dcterms:modified>
  <cp:category/>
</cp:coreProperties>
</file>