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3B6E8" w14:textId="43635A38" w:rsidR="006E6C15" w:rsidRDefault="00CE2B70" w:rsidP="00507D7E">
      <w:pPr>
        <w:pStyle w:val="Body"/>
      </w:pPr>
      <w:r>
        <w:t xml:space="preserve">These glyphs are for use in octave markings, sometimes called </w:t>
      </w:r>
      <w:proofErr w:type="spellStart"/>
      <w:r>
        <w:rPr>
          <w:i/>
        </w:rPr>
        <w:t>ottava</w:t>
      </w:r>
      <w:proofErr w:type="spellEnd"/>
      <w:r>
        <w:rPr>
          <w:i/>
        </w:rPr>
        <w:t xml:space="preserve"> lines</w:t>
      </w:r>
      <w:r w:rsidR="00B32781">
        <w:t>.</w:t>
      </w:r>
    </w:p>
    <w:p w14:paraId="4800CF02" w14:textId="18FEA6E8" w:rsidR="006C2E73" w:rsidRDefault="006C2E73" w:rsidP="006C2E73">
      <w:pPr>
        <w:pStyle w:val="Body"/>
      </w:pPr>
      <w:r w:rsidRPr="006C2E73">
        <w:rPr>
          <w:i/>
        </w:rPr>
        <w:t>8</w:t>
      </w:r>
      <w:r>
        <w:t xml:space="preserve"> (</w:t>
      </w:r>
      <w:proofErr w:type="spellStart"/>
      <w:r w:rsidRPr="00A66857">
        <w:rPr>
          <w:rStyle w:val="Referencetoglyphname"/>
        </w:rPr>
        <w:t>ottava</w:t>
      </w:r>
      <w:proofErr w:type="spellEnd"/>
      <w:r>
        <w:t xml:space="preserve">), </w:t>
      </w:r>
      <w:r w:rsidRPr="006C2E73">
        <w:rPr>
          <w:i/>
        </w:rPr>
        <w:t>15</w:t>
      </w:r>
      <w:r>
        <w:t xml:space="preserve"> (</w:t>
      </w:r>
      <w:proofErr w:type="spellStart"/>
      <w:r w:rsidRPr="00A66857">
        <w:rPr>
          <w:rStyle w:val="Referencetoglyphname"/>
        </w:rPr>
        <w:t>quindicesima</w:t>
      </w:r>
      <w:proofErr w:type="spellEnd"/>
      <w:r>
        <w:t xml:space="preserve">), and </w:t>
      </w:r>
      <w:r w:rsidRPr="006C2E73">
        <w:rPr>
          <w:i/>
        </w:rPr>
        <w:t>22</w:t>
      </w:r>
      <w:r>
        <w:t xml:space="preserve"> (</w:t>
      </w:r>
      <w:proofErr w:type="spellStart"/>
      <w:r w:rsidRPr="00A66857">
        <w:rPr>
          <w:rStyle w:val="Referencetoglyphname"/>
        </w:rPr>
        <w:t>ventiduesima</w:t>
      </w:r>
      <w:proofErr w:type="spellEnd"/>
      <w:r>
        <w:t>) may be used to indicate the raising or lowering of pitch by one, two, or three octaves respectively; the position of these glyphs relative to a dashed line with hook, and the placement relative to the staff (above to raise, below to lower), indicates whether or not the pitch is raised or lowered.</w:t>
      </w:r>
    </w:p>
    <w:p w14:paraId="580DE611" w14:textId="52D7BC7D" w:rsidR="006C2E73" w:rsidRDefault="006C2E73" w:rsidP="006C2E73">
      <w:pPr>
        <w:pStyle w:val="Body"/>
      </w:pPr>
      <w:r>
        <w:t xml:space="preserve">To more explicitly indicate raising the pitch by one, two, or three octaves, the glyphs with superscript suffixes — </w:t>
      </w:r>
      <w:r w:rsidRPr="006C2E73">
        <w:rPr>
          <w:i/>
        </w:rPr>
        <w:t>8va</w:t>
      </w:r>
      <w:r>
        <w:t xml:space="preserve"> (</w:t>
      </w:r>
      <w:proofErr w:type="spellStart"/>
      <w:r w:rsidRPr="00A66857">
        <w:rPr>
          <w:rStyle w:val="Referencetoglyphname"/>
        </w:rPr>
        <w:t>ottavaAlta</w:t>
      </w:r>
      <w:proofErr w:type="spellEnd"/>
      <w:r>
        <w:t xml:space="preserve">), </w:t>
      </w:r>
      <w:r w:rsidRPr="006C2E73">
        <w:rPr>
          <w:i/>
        </w:rPr>
        <w:t>15ma</w:t>
      </w:r>
      <w:r>
        <w:t xml:space="preserve"> (</w:t>
      </w:r>
      <w:proofErr w:type="spellStart"/>
      <w:r w:rsidRPr="00A66857">
        <w:rPr>
          <w:rStyle w:val="Referencetoglyphname"/>
        </w:rPr>
        <w:t>quindicesimaAlta</w:t>
      </w:r>
      <w:proofErr w:type="spellEnd"/>
      <w:r>
        <w:t xml:space="preserve">), </w:t>
      </w:r>
      <w:r w:rsidRPr="006C2E73">
        <w:rPr>
          <w:i/>
        </w:rPr>
        <w:t>22ma</w:t>
      </w:r>
      <w:r>
        <w:t xml:space="preserve"> (</w:t>
      </w:r>
      <w:proofErr w:type="spellStart"/>
      <w:r w:rsidRPr="00A66857">
        <w:rPr>
          <w:rStyle w:val="Referencetoglyphname"/>
        </w:rPr>
        <w:t>ventiduesimaAlta</w:t>
      </w:r>
      <w:proofErr w:type="spellEnd"/>
      <w:r>
        <w:t>) — may be used.</w:t>
      </w:r>
    </w:p>
    <w:p w14:paraId="3966F40F" w14:textId="776D60C1" w:rsidR="006C2E73" w:rsidRDefault="006C2E73" w:rsidP="006C2E73">
      <w:pPr>
        <w:pStyle w:val="Body"/>
      </w:pPr>
      <w:r>
        <w:t>To explicitly indicate lowering the pitch by one, two, or three octaves, the glyphs with baseline suffixes — 8va (</w:t>
      </w:r>
      <w:proofErr w:type="spellStart"/>
      <w:r w:rsidRPr="00A66857">
        <w:rPr>
          <w:rStyle w:val="Referencetoglyphname"/>
        </w:rPr>
        <w:t>ottavaBassaBase</w:t>
      </w:r>
      <w:proofErr w:type="spellEnd"/>
      <w:r>
        <w:t>), 15ma (</w:t>
      </w:r>
      <w:proofErr w:type="spellStart"/>
      <w:r w:rsidRPr="00A66857">
        <w:rPr>
          <w:rStyle w:val="Referencetoglyphname"/>
        </w:rPr>
        <w:t>quindicesimaBassaBase</w:t>
      </w:r>
      <w:proofErr w:type="spellEnd"/>
      <w:r>
        <w:t>), 22ma (</w:t>
      </w:r>
      <w:proofErr w:type="spellStart"/>
      <w:r w:rsidRPr="00A66857">
        <w:rPr>
          <w:rStyle w:val="Referencetoglyphname"/>
        </w:rPr>
        <w:t>ventiduesimaBassaBase</w:t>
      </w:r>
      <w:proofErr w:type="spellEnd"/>
      <w:r>
        <w:t xml:space="preserve">) — may be used, optionally with the additional indication </w:t>
      </w:r>
      <w:proofErr w:type="spellStart"/>
      <w:r>
        <w:rPr>
          <w:i/>
        </w:rPr>
        <w:t>bassa</w:t>
      </w:r>
      <w:proofErr w:type="spellEnd"/>
      <w:r>
        <w:t xml:space="preserve"> (</w:t>
      </w:r>
      <w:proofErr w:type="spellStart"/>
      <w:r w:rsidRPr="00A66857">
        <w:rPr>
          <w:rStyle w:val="Referencetoglyphname"/>
        </w:rPr>
        <w:t>octaveBassa</w:t>
      </w:r>
      <w:proofErr w:type="spellEnd"/>
      <w:r>
        <w:t>).</w:t>
      </w:r>
    </w:p>
    <w:p w14:paraId="3A25B803" w14:textId="5233A1EA" w:rsidR="006C2E73" w:rsidRDefault="006C2E73" w:rsidP="006C2E73">
      <w:pPr>
        <w:pStyle w:val="Body"/>
      </w:pPr>
      <w:r>
        <w:t xml:space="preserve">In the case where an octave marking applies to only some of the notes on a given staff, the indication </w:t>
      </w:r>
      <w:r>
        <w:rPr>
          <w:i/>
        </w:rPr>
        <w:t>loco</w:t>
      </w:r>
      <w:r>
        <w:t xml:space="preserve"> (</w:t>
      </w:r>
      <w:proofErr w:type="spellStart"/>
      <w:r w:rsidRPr="00A66857">
        <w:rPr>
          <w:rStyle w:val="Referencetoglyphname"/>
        </w:rPr>
        <w:t>octaveLoco</w:t>
      </w:r>
      <w:proofErr w:type="spellEnd"/>
      <w:r>
        <w:t>), meaning “with the octave”, is sometimes also used.</w:t>
      </w:r>
      <w:r w:rsidR="00CC40D8">
        <w:t xml:space="preserve"> (This glyph i</w:t>
      </w:r>
      <w:bookmarkStart w:id="0" w:name="_GoBack"/>
      <w:bookmarkEnd w:id="0"/>
      <w:r w:rsidR="00CC40D8">
        <w:t xml:space="preserve">s found in the </w:t>
      </w:r>
      <w:r w:rsidR="00CC40D8" w:rsidRPr="00CC40D8">
        <w:rPr>
          <w:rStyle w:val="ReferencetoHeading2"/>
        </w:rPr>
        <w:t>Octaves supplement</w:t>
      </w:r>
      <w:r w:rsidR="00CC40D8">
        <w:t xml:space="preserve"> range.)</w:t>
      </w:r>
    </w:p>
    <w:p w14:paraId="49A8597A" w14:textId="085B1DAE" w:rsidR="00A66857" w:rsidRPr="006C2E73" w:rsidRDefault="00A66857" w:rsidP="006C2E73">
      <w:pPr>
        <w:pStyle w:val="Body"/>
      </w:pPr>
      <w:r>
        <w:t xml:space="preserve">When an octave line crosses a system or page break, the octave marking is repeated at the start of the new system, and may optionally be enclosed within parentheses, which are provided as </w:t>
      </w:r>
      <w:proofErr w:type="spellStart"/>
      <w:r w:rsidRPr="00A66857">
        <w:rPr>
          <w:rStyle w:val="Referencetoglyphname"/>
        </w:rPr>
        <w:t>octaveParensLeft</w:t>
      </w:r>
      <w:proofErr w:type="spellEnd"/>
      <w:r>
        <w:t xml:space="preserve"> and </w:t>
      </w:r>
      <w:proofErr w:type="spellStart"/>
      <w:r w:rsidRPr="00A66857">
        <w:rPr>
          <w:rStyle w:val="Referencetoglyphname"/>
        </w:rPr>
        <w:t>octaveParens</w:t>
      </w:r>
      <w:r>
        <w:rPr>
          <w:rStyle w:val="Referencetoglyphname"/>
        </w:rPr>
        <w:t>Right</w:t>
      </w:r>
      <w:proofErr w:type="spellEnd"/>
      <w:r w:rsidRPr="00A66857">
        <w:t>.</w:t>
      </w:r>
    </w:p>
    <w:p w14:paraId="5B6E4910" w14:textId="30F5C148" w:rsidR="00CC40D8" w:rsidRDefault="00CE2B70" w:rsidP="00CC40D8">
      <w:pPr>
        <w:pStyle w:val="Body"/>
      </w:pPr>
      <w:r>
        <w:t xml:space="preserve">The </w:t>
      </w:r>
      <w:r w:rsidRPr="00CE2B70">
        <w:rPr>
          <w:i/>
        </w:rPr>
        <w:t>8vb</w:t>
      </w:r>
      <w:r>
        <w:t xml:space="preserve"> (</w:t>
      </w:r>
      <w:proofErr w:type="spellStart"/>
      <w:r w:rsidRPr="00CE2B70">
        <w:rPr>
          <w:rStyle w:val="Referencetoglyphname"/>
        </w:rPr>
        <w:t>ottavaBassa</w:t>
      </w:r>
      <w:r w:rsidR="006C2E73">
        <w:rPr>
          <w:rStyle w:val="Referencetoglyphname"/>
        </w:rPr>
        <w:t>Vb</w:t>
      </w:r>
      <w:proofErr w:type="spellEnd"/>
      <w:r>
        <w:t xml:space="preserve">), </w:t>
      </w:r>
      <w:r w:rsidRPr="00CE2B70">
        <w:rPr>
          <w:i/>
        </w:rPr>
        <w:t>15mb</w:t>
      </w:r>
      <w:r>
        <w:t xml:space="preserve"> (</w:t>
      </w:r>
      <w:proofErr w:type="spellStart"/>
      <w:r w:rsidRPr="00CE2B70">
        <w:rPr>
          <w:rStyle w:val="Referencetoglyphname"/>
        </w:rPr>
        <w:t>quindicesimaBassa</w:t>
      </w:r>
      <w:r w:rsidR="006C2E73">
        <w:rPr>
          <w:rStyle w:val="Referencetoglyphname"/>
        </w:rPr>
        <w:t>Mb</w:t>
      </w:r>
      <w:proofErr w:type="spellEnd"/>
      <w:r>
        <w:t xml:space="preserve">) and </w:t>
      </w:r>
      <w:r w:rsidRPr="00CE2B70">
        <w:rPr>
          <w:i/>
        </w:rPr>
        <w:t>22mb</w:t>
      </w:r>
      <w:r>
        <w:t xml:space="preserve"> (</w:t>
      </w:r>
      <w:proofErr w:type="spellStart"/>
      <w:r w:rsidRPr="00CE2B70">
        <w:rPr>
          <w:rStyle w:val="Referencetoglyphname"/>
        </w:rPr>
        <w:t>ventiduesimaBassa</w:t>
      </w:r>
      <w:r w:rsidR="006C2E73">
        <w:rPr>
          <w:rStyle w:val="Referencetoglyphname"/>
        </w:rPr>
        <w:t>Mb</w:t>
      </w:r>
      <w:proofErr w:type="spellEnd"/>
      <w:r>
        <w:t xml:space="preserve">) glyphs are included because they are sometimes used, but they are corruptions of the more correct forms </w:t>
      </w:r>
      <w:r w:rsidRPr="00CE2B70">
        <w:rPr>
          <w:i/>
        </w:rPr>
        <w:t xml:space="preserve">8va </w:t>
      </w:r>
      <w:proofErr w:type="spellStart"/>
      <w:r w:rsidRPr="00CE2B70">
        <w:rPr>
          <w:i/>
        </w:rPr>
        <w:t>bassa</w:t>
      </w:r>
      <w:proofErr w:type="spellEnd"/>
      <w:r>
        <w:t xml:space="preserve">, </w:t>
      </w:r>
      <w:r w:rsidRPr="00CE2B70">
        <w:rPr>
          <w:i/>
        </w:rPr>
        <w:t xml:space="preserve">15ma </w:t>
      </w:r>
      <w:proofErr w:type="spellStart"/>
      <w:r w:rsidRPr="00CE2B70">
        <w:rPr>
          <w:i/>
        </w:rPr>
        <w:t>bassa</w:t>
      </w:r>
      <w:proofErr w:type="spellEnd"/>
      <w:r>
        <w:t xml:space="preserve">, and </w:t>
      </w:r>
      <w:r w:rsidRPr="00CE2B70">
        <w:rPr>
          <w:i/>
        </w:rPr>
        <w:t xml:space="preserve">22ma </w:t>
      </w:r>
      <w:proofErr w:type="spellStart"/>
      <w:r w:rsidRPr="00CE2B70">
        <w:rPr>
          <w:i/>
        </w:rPr>
        <w:t>bassa</w:t>
      </w:r>
      <w:proofErr w:type="spellEnd"/>
      <w:r>
        <w:t xml:space="preserve">. </w:t>
      </w:r>
      <w:r w:rsidRPr="00CE2B70">
        <w:rPr>
          <w:i/>
        </w:rPr>
        <w:t>8va</w:t>
      </w:r>
      <w:r>
        <w:t xml:space="preserve"> is short for “</w:t>
      </w:r>
      <w:proofErr w:type="spellStart"/>
      <w:r>
        <w:t>ottava</w:t>
      </w:r>
      <w:proofErr w:type="spellEnd"/>
      <w:r>
        <w:t xml:space="preserve">”, </w:t>
      </w:r>
      <w:r w:rsidRPr="00CE2B70">
        <w:rPr>
          <w:i/>
        </w:rPr>
        <w:t>15ma</w:t>
      </w:r>
      <w:r>
        <w:t xml:space="preserve"> is short for “</w:t>
      </w:r>
      <w:proofErr w:type="spellStart"/>
      <w:r>
        <w:t>quindicesima</w:t>
      </w:r>
      <w:proofErr w:type="spellEnd"/>
      <w:r>
        <w:t xml:space="preserve">”, and </w:t>
      </w:r>
      <w:r w:rsidRPr="00CE2B70">
        <w:rPr>
          <w:i/>
        </w:rPr>
        <w:t>22ma</w:t>
      </w:r>
      <w:r>
        <w:t xml:space="preserve"> is short for “</w:t>
      </w:r>
      <w:proofErr w:type="spellStart"/>
      <w:r>
        <w:t>ventiduesima</w:t>
      </w:r>
      <w:proofErr w:type="spellEnd"/>
      <w:r>
        <w:t xml:space="preserve">”; as such, it is nonsensical to replace the suffix </w:t>
      </w:r>
      <w:proofErr w:type="spellStart"/>
      <w:r w:rsidRPr="00CE2B70">
        <w:rPr>
          <w:i/>
        </w:rPr>
        <w:t>va</w:t>
      </w:r>
      <w:proofErr w:type="spellEnd"/>
      <w:r>
        <w:t xml:space="preserve"> with </w:t>
      </w:r>
      <w:proofErr w:type="spellStart"/>
      <w:r w:rsidRPr="00CE2B70">
        <w:rPr>
          <w:i/>
        </w:rPr>
        <w:t>vb</w:t>
      </w:r>
      <w:proofErr w:type="spellEnd"/>
      <w:r>
        <w:t xml:space="preserve">, or </w:t>
      </w:r>
      <w:r w:rsidRPr="00CE2B70">
        <w:rPr>
          <w:i/>
        </w:rPr>
        <w:t>ma</w:t>
      </w:r>
      <w:r>
        <w:t xml:space="preserve"> with </w:t>
      </w:r>
      <w:proofErr w:type="spellStart"/>
      <w:r w:rsidRPr="00CE2B70">
        <w:rPr>
          <w:i/>
        </w:rPr>
        <w:t>mb</w:t>
      </w:r>
      <w:proofErr w:type="spellEnd"/>
      <w:r>
        <w:t xml:space="preserve">. The recommended abbreviation for </w:t>
      </w:r>
      <w:r w:rsidRPr="00CE2B70">
        <w:rPr>
          <w:i/>
        </w:rPr>
        <w:t xml:space="preserve">8va </w:t>
      </w:r>
      <w:proofErr w:type="spellStart"/>
      <w:r w:rsidRPr="00CE2B70">
        <w:rPr>
          <w:i/>
        </w:rPr>
        <w:t>bassa</w:t>
      </w:r>
      <w:proofErr w:type="spellEnd"/>
      <w:r>
        <w:t xml:space="preserve"> is </w:t>
      </w:r>
      <w:r w:rsidRPr="00CE2B70">
        <w:rPr>
          <w:i/>
        </w:rPr>
        <w:t>8ba</w:t>
      </w:r>
      <w:r>
        <w:t xml:space="preserve"> (</w:t>
      </w:r>
      <w:proofErr w:type="spellStart"/>
      <w:r w:rsidRPr="00CE2B70">
        <w:rPr>
          <w:rStyle w:val="Referencetoglyphname"/>
        </w:rPr>
        <w:t>ottavaBassaBa</w:t>
      </w:r>
      <w:proofErr w:type="spellEnd"/>
      <w:r>
        <w:t>), which is included.</w:t>
      </w:r>
    </w:p>
    <w:sectPr w:rsidR="00CC40D8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6C2E73" w:rsidRDefault="006C2E73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6C2E73" w:rsidRDefault="006C2E73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venirNext LT Pro Regular">
    <w:panose1 w:val="020B0504020202020204"/>
    <w:charset w:val="00"/>
    <w:family w:val="auto"/>
    <w:pitch w:val="variable"/>
    <w:sig w:usb0="00000003" w:usb1="00000000" w:usb2="00000000" w:usb3="00000000" w:csb0="00000001" w:csb1="00000000"/>
  </w:font>
  <w:font w:name="AvenirNext LT Pro Medium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venirNext LT Pro Heavy">
    <w:panose1 w:val="020B09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ravura">
    <w:panose1 w:val="05060000000000000000"/>
    <w:charset w:val="00"/>
    <w:family w:val="auto"/>
    <w:pitch w:val="variable"/>
    <w:sig w:usb0="00000003" w:usb1="00000000" w:usb2="00000000" w:usb3="00000000" w:csb0="00000001" w:csb1="00000000"/>
  </w:font>
  <w:font w:name="AvenirNext LT Pro Cn">
    <w:panose1 w:val="020B0506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6C2E73" w:rsidRDefault="006C2E73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6C2E73" w:rsidRDefault="006C2E73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6C2E73" w:rsidRPr="00FC768B" w:rsidRDefault="006C2E73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365D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2E73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6C15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57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781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40D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B70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39C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0A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9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39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DC039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C039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3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039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DC039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DC039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DC039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DC039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C039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DC03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DC039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39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DC039C"/>
    <w:pPr>
      <w:ind w:left="720"/>
      <w:contextualSpacing/>
    </w:pPr>
  </w:style>
  <w:style w:type="paragraph" w:customStyle="1" w:styleId="Body">
    <w:name w:val="Body"/>
    <w:basedOn w:val="Normal"/>
    <w:qFormat/>
    <w:rsid w:val="00DC039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DC039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DC039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DC039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DC039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DC039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DC039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DC039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DC039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DC039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3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39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39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DC039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C039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3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C039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DC039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DC039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DC039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DC039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C039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DC03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DC039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039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DC039C"/>
    <w:pPr>
      <w:ind w:left="720"/>
      <w:contextualSpacing/>
    </w:pPr>
  </w:style>
  <w:style w:type="paragraph" w:customStyle="1" w:styleId="Body">
    <w:name w:val="Body"/>
    <w:basedOn w:val="Normal"/>
    <w:qFormat/>
    <w:rsid w:val="00DC039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DC039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DC039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DC039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DC039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DC039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DC039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DC039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DC039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DC039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39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2217D8-3E88-D64F-AB55-9E21E252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1563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1834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3</cp:revision>
  <cp:lastPrinted>2013-10-28T11:45:00Z</cp:lastPrinted>
  <dcterms:created xsi:type="dcterms:W3CDTF">2014-12-11T12:53:00Z</dcterms:created>
  <dcterms:modified xsi:type="dcterms:W3CDTF">2014-12-11T12:53:00Z</dcterms:modified>
  <cp:category/>
</cp:coreProperties>
</file>