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24381" w14:textId="46A502C4" w:rsidR="0095527F" w:rsidRPr="003D7783" w:rsidRDefault="0015164D" w:rsidP="00A41484">
      <w:pPr>
        <w:pStyle w:val="Body"/>
      </w:pPr>
      <w:r>
        <w:rPr>
          <w:lang w:val="en-AU" w:eastAsia="en-AU"/>
        </w:rPr>
        <w:t>Other Sagittal-compatible accidentals are the standard d</w:t>
      </w:r>
      <w:bookmarkStart w:id="0" w:name="_GoBack"/>
      <w:bookmarkEnd w:id="0"/>
      <w:r>
        <w:rPr>
          <w:lang w:val="en-AU" w:eastAsia="en-AU"/>
        </w:rPr>
        <w:t>ouble-flat, flat, natural and sharp (</w:t>
      </w:r>
      <w:proofErr w:type="spellStart"/>
      <w:r w:rsidRPr="00907CEC">
        <w:rPr>
          <w:rStyle w:val="Referencetoglyphname"/>
        </w:rPr>
        <w:t>accidentalDoubleFlat</w:t>
      </w:r>
      <w:proofErr w:type="spellEnd"/>
      <w:r>
        <w:rPr>
          <w:lang w:val="en-AU" w:eastAsia="en-AU"/>
        </w:rPr>
        <w:t xml:space="preserve">, </w:t>
      </w:r>
      <w:proofErr w:type="spellStart"/>
      <w:r w:rsidRPr="00907CEC">
        <w:rPr>
          <w:rStyle w:val="Referencetoglyphname"/>
        </w:rPr>
        <w:t>accidentalFlat</w:t>
      </w:r>
      <w:proofErr w:type="spellEnd"/>
      <w:r>
        <w:rPr>
          <w:lang w:val="en-AU" w:eastAsia="en-AU"/>
        </w:rPr>
        <w:t xml:space="preserve">, </w:t>
      </w:r>
      <w:proofErr w:type="spellStart"/>
      <w:r w:rsidRPr="00907CEC">
        <w:rPr>
          <w:rStyle w:val="Referencetoglyphname"/>
        </w:rPr>
        <w:t>accidentalNatural</w:t>
      </w:r>
      <w:proofErr w:type="spellEnd"/>
      <w:r>
        <w:rPr>
          <w:lang w:val="en-AU" w:eastAsia="en-AU"/>
        </w:rPr>
        <w:t xml:space="preserve"> and </w:t>
      </w:r>
      <w:proofErr w:type="spellStart"/>
      <w:r w:rsidRPr="00907CEC">
        <w:rPr>
          <w:rStyle w:val="Referencetoglyphname"/>
        </w:rPr>
        <w:t>accidentalSharp</w:t>
      </w:r>
      <w:proofErr w:type="spellEnd"/>
      <w:r>
        <w:rPr>
          <w:lang w:val="en-AU" w:eastAsia="en-AU"/>
        </w:rPr>
        <w:t>) and the Stein half-sharp and one-and-a-half-sharps (</w:t>
      </w:r>
      <w:r w:rsidRPr="00907CEC">
        <w:rPr>
          <w:rStyle w:val="Referencetoglyphname"/>
        </w:rPr>
        <w:t>accidentalQuarterSharp4</w:t>
      </w:r>
      <w:r>
        <w:rPr>
          <w:lang w:val="en-AU" w:eastAsia="en-AU"/>
        </w:rPr>
        <w:t xml:space="preserve"> and </w:t>
      </w:r>
      <w:r w:rsidRPr="00907CEC">
        <w:rPr>
          <w:rStyle w:val="Referencetoglyphname"/>
        </w:rPr>
        <w:t>accidentalThreeQuartersSharp2</w:t>
      </w:r>
      <w:r>
        <w:rPr>
          <w:lang w:val="en-AU" w:eastAsia="en-AU"/>
        </w:rPr>
        <w:t>).</w:t>
      </w:r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907CEC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07CEC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E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CE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07CE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07CE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C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7CE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07CE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907CE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07CE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07CE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07CE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907C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907CE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7CE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907CEC"/>
    <w:pPr>
      <w:ind w:left="720"/>
      <w:contextualSpacing/>
    </w:pPr>
  </w:style>
  <w:style w:type="paragraph" w:customStyle="1" w:styleId="Body">
    <w:name w:val="Body"/>
    <w:basedOn w:val="Normal"/>
    <w:qFormat/>
    <w:rsid w:val="00907CE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907CE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907CE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907CE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907CE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907CE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907CE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907CE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907CE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907CE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CE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E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CE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07CE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07CE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C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7CE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07CE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907CE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07CE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07CE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07CE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907C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907CE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7CE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907CEC"/>
    <w:pPr>
      <w:ind w:left="720"/>
      <w:contextualSpacing/>
    </w:pPr>
  </w:style>
  <w:style w:type="paragraph" w:customStyle="1" w:styleId="Body">
    <w:name w:val="Body"/>
    <w:basedOn w:val="Normal"/>
    <w:qFormat/>
    <w:rsid w:val="00907CE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907CE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907CE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907CE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907CE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907CE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907CE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907CE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907CE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907CE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CE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34BB2F-DF63-499D-8F92-3C84219A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281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4</cp:revision>
  <cp:lastPrinted>2013-10-28T11:45:00Z</cp:lastPrinted>
  <dcterms:created xsi:type="dcterms:W3CDTF">2013-11-12T15:22:00Z</dcterms:created>
  <dcterms:modified xsi:type="dcterms:W3CDTF">2014-04-15T12:16:00Z</dcterms:modified>
  <cp:category/>
</cp:coreProperties>
</file>