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818D5" w14:textId="77777777" w:rsidR="00027516" w:rsidRPr="009465FA" w:rsidRDefault="00027516" w:rsidP="00027516">
      <w:pPr>
        <w:pStyle w:val="Body"/>
      </w:pPr>
      <w:r>
        <w:t xml:space="preserve">The </w:t>
      </w:r>
      <w:r w:rsidRPr="001C73C0">
        <w:rPr>
          <w:rFonts w:ascii="Avenir Heavy" w:hAnsi="Avenir Heavy"/>
        </w:rPr>
        <w:t>brace</w:t>
      </w:r>
      <w:r>
        <w:t xml:space="preserve"> glyph should be scaled vertically in a scoring application to the appropriate height of the two or more staves it encompasses.</w:t>
      </w:r>
    </w:p>
    <w:p w14:paraId="501D8037" w14:textId="77777777" w:rsidR="00027516" w:rsidRDefault="00027516" w:rsidP="00027516">
      <w:pPr>
        <w:pStyle w:val="Body"/>
      </w:pPr>
      <w:r w:rsidRPr="001C73C0">
        <w:rPr>
          <w:rFonts w:ascii="Avenir Heavy" w:hAnsi="Avenir Heavy"/>
        </w:rPr>
        <w:t>bracket</w:t>
      </w:r>
      <w:r>
        <w:t xml:space="preserve"> is a complete bracket of a fixed height useful for displaying brackets in text-based documents or applications.</w:t>
      </w:r>
    </w:p>
    <w:p w14:paraId="12924381" w14:textId="4236C178" w:rsidR="0095527F" w:rsidRPr="00194177" w:rsidRDefault="00027516" w:rsidP="00027516">
      <w:pPr>
        <w:pStyle w:val="Body"/>
      </w:pPr>
      <w:r>
        <w:t xml:space="preserve">To display a bracket of variable height in a scoring application, use </w:t>
      </w:r>
      <w:r w:rsidRPr="001C73C0">
        <w:rPr>
          <w:rFonts w:ascii="Avenir Heavy" w:hAnsi="Avenir Heavy"/>
        </w:rPr>
        <w:t>bracketTop</w:t>
      </w:r>
      <w:r>
        <w:t xml:space="preserve"> and </w:t>
      </w:r>
      <w:r w:rsidRPr="001C73C0">
        <w:rPr>
          <w:rFonts w:ascii="Avenir Heavy" w:hAnsi="Avenir Heavy"/>
        </w:rPr>
        <w:t>bracketBottom</w:t>
      </w:r>
      <w:r>
        <w:t xml:space="preserve"> as the top and bottom terminals of a bracket drawn using a stroked line or filled rectangle of the appropriate width.</w:t>
      </w:r>
      <w:bookmarkStart w:id="0" w:name="_GoBack"/>
      <w:bookmarkEnd w:id="0"/>
    </w:p>
    <w:sectPr w:rsidR="0095527F" w:rsidRPr="00194177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027516" w:rsidRDefault="00027516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027516" w:rsidRDefault="00027516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027516" w:rsidRDefault="00027516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027516" w:rsidRDefault="00027516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027516" w:rsidRPr="00FC768B" w:rsidRDefault="00027516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16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E6524E-46BC-4F49-BE12-548EAF60D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473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2013-11-12T11:55:00Z</dcterms:created>
  <dcterms:modified xsi:type="dcterms:W3CDTF">2013-11-12T11:55:00Z</dcterms:modified>
  <cp:category/>
</cp:coreProperties>
</file>