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 for Acme Corp</w:t>
      </w:r>
    </w:p>
    <w:p>
      <w:r>
        <w:t xml:space="preserve">This report was prepared by </w:t>
      </w:r>
      <w:r>
        <w:rPr>
          <w:b/>
        </w:rPr>
        <w:t>Acme Corp</w:t>
      </w:r>
      <w:r>
        <w:t xml:space="preserve"> for its </w:t>
      </w:r>
      <w:r>
        <w:rPr>
          <w:i/>
        </w:rPr>
        <w:t>board of directors</w:t>
      </w:r>
      <w:r>
        <w:rPr>
          <w:color w:val="C00000"/>
        </w:rPr>
        <w:t>. Revenue grew strongly</w:t>
      </w:r>
      <w:r>
        <w:t xml:space="preserve"> in the third quarter. Details are on </w:t>
      </w:r>
      <w:hyperlink r:id="rId11">
        <w:r>
          <w:rPr>
            <w:color w:val="0563C1"/>
            <w:u w:val="single"/>
          </w:rPr>
          <w:t>the investor site</w:t>
        </w:r>
      </w:hyperlink>
      <w:r>
        <w:t>.</w:t>
      </w:r>
    </w:p>
    <w:p>
      <w:r>
        <w:t>We recieve many questions about the merger, and we beleive the answers below adress the most common ones.</w:t>
      </w:r>
    </w:p>
    <w:p>
      <w:pPr>
        <w:pStyle w:val="Heading2"/>
      </w:pPr>
      <w:r>
        <w:t>Highlights</w:t>
      </w:r>
    </w:p>
    <w:p>
      <w:pPr>
        <w:pStyle w:val="ListBullet"/>
      </w:pPr>
      <w:r>
        <w:t>Revenue increased by 12% year over year.</w:t>
      </w:r>
    </w:p>
    <w:p>
      <w:pPr>
        <w:pStyle w:val="ListBullet"/>
      </w:pPr>
      <w:r>
        <w:t>Acme Corp opened two new offices.</w:t>
      </w:r>
    </w:p>
    <w:p>
      <w:pPr>
        <w:pStyle w:val="ListBullet"/>
      </w:pPr>
      <w:r>
        <w:t>Customer churn fell to 3.1%.</w:t>
      </w:r>
    </w:p>
    <w:p>
      <w:pPr>
        <w:pStyle w:val="ListNumber"/>
      </w:pPr>
      <w:r>
        <w:t>Approve the budget.</w:t>
      </w:r>
    </w:p>
    <w:p>
      <w:pPr>
        <w:pStyle w:val="ListNumber"/>
      </w:pPr>
      <w:r>
        <w:t>Elect the new auditor.</w:t>
      </w:r>
    </w:p>
    <w:p>
      <w:pPr>
        <w:pStyle w:val="ListNumber"/>
      </w:pPr>
      <w:r>
        <w:t>Close the meeting.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36"/>
            <w:gridSpan w:val="2"/>
          </w:tcPr>
          <w:p>
            <w:r>
              <w:t>Region</w:t>
            </w:r>
          </w:p>
        </w:tc>
        <w:tc>
          <w:tcPr>
            <w:tcW w:type="dxa" w:w="2268"/>
          </w:tcPr>
          <w:p>
            <w:r>
              <w:t>Q2</w:t>
            </w:r>
          </w:p>
        </w:tc>
        <w:tc>
          <w:tcPr>
            <w:tcW w:type="dxa" w:w="2268"/>
          </w:tcPr>
          <w:p>
            <w:r>
              <w:t>Q3</w:t>
            </w:r>
          </w:p>
        </w:tc>
      </w:tr>
      <w:tr>
        <w:tc>
          <w:tcPr>
            <w:tcW w:type="dxa" w:w="2268"/>
          </w:tcPr>
          <w:p>
            <w:r>
              <w:t>North</w:t>
            </w:r>
          </w:p>
        </w:tc>
        <w:tc>
          <w:tcPr>
            <w:tcW w:type="dxa" w:w="2268"/>
          </w:tcPr>
          <w:p>
            <w:r>
              <w:t>Acme North</w:t>
            </w:r>
          </w:p>
        </w:tc>
        <w:tc>
          <w:tcPr>
            <w:tcW w:type="dxa" w:w="2268"/>
          </w:tcPr>
          <w:p>
            <w:r>
              <w:t>1.2</w:t>
            </w:r>
          </w:p>
        </w:tc>
        <w:tc>
          <w:tcPr>
            <w:tcW w:type="dxa" w:w="2268"/>
          </w:tcPr>
          <w:p>
            <w:r>
              <w:rPr>
                <w:b/>
              </w:rPr>
              <w:t>1.4</w:t>
            </w:r>
          </w:p>
        </w:tc>
      </w:tr>
      <w:tr>
        <w:tc>
          <w:tcPr>
            <w:tcW w:type="dxa" w:w="2268"/>
          </w:tcPr>
          <w:p>
            <w:r>
              <w:t>South</w:t>
            </w:r>
          </w:p>
        </w:tc>
        <w:tc>
          <w:tcPr>
            <w:tcW w:type="dxa" w:w="2268"/>
          </w:tcPr>
          <w:p>
            <w:r>
              <w:t>Acme South</w:t>
            </w:r>
          </w:p>
        </w:tc>
        <w:tc>
          <w:tcPr>
            <w:tcW w:type="dxa" w:w="2268"/>
          </w:tcPr>
          <w:p>
            <w:r>
              <w:t>0.8</w:t>
            </w:r>
          </w:p>
        </w:tc>
        <w:tc>
          <w:tcPr>
            <w:tcW w:type="dxa" w:w="2268"/>
          </w:tcPr>
          <w:p>
            <w:r>
              <w:rPr>
                <w:b/>
              </w:rPr>
              <w:t>0.9</w:t>
            </w:r>
          </w:p>
        </w:tc>
      </w:tr>
    </w:tbl>
    <w:p>
      <w:r xmlns:a="http://schemas.openxmlformats.org/drawingml/2006/main">
        <w:drawing>
          <wp:inline distT="0" distB="0" distL="0" distR="0">
            <wp:extent cx="3600000" cy="540000"/>
            <wp:docPr id="100" name="TextBox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0000" cy="5400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i/>
                          </w:rPr>
                          <w:t>Note: figures are unaudited and provided by Acme Corp.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134" w:left="1701" w:header="720" w:footer="720" w:gutter="0"/>
          <w:cols w:space="720"/>
          <w:docGrid w:linePitch="360"/>
        </w:sectPr>
      </w:pPr>
    </w:p>
    <w:p>
      <w:pPr>
        <w:pStyle w:val="Heading2"/>
      </w:pPr>
      <w:r>
        <w:t>Appendix</w:t>
      </w:r>
    </w:p>
    <w:p>
      <w:pPr>
        <w:spacing w:after="120"/>
      </w:pPr>
      <w:r>
        <w:t>Appendix paragraph 1. Acme Corp keeps records of every transaction for at least seven years, as required by law.</w:t>
      </w:r>
    </w:p>
    <w:p>
      <w:pPr>
        <w:spacing w:after="120"/>
      </w:pPr>
      <w:r>
        <w:t>Appendix paragraph 2. Acme Corp keeps records of every transaction for at least seven years, as required by law.</w:t>
      </w:r>
    </w:p>
    <w:p>
      <w:pPr>
        <w:spacing w:after="120"/>
      </w:pPr>
      <w:r>
        <w:t>Appendix paragraph 3. Acme Corp keeps records of every transaction for at least seven years, as required by law.</w:t>
      </w:r>
    </w:p>
    <w:p>
      <w:pPr>
        <w:spacing w:after="120"/>
      </w:pPr>
      <w:r>
        <w:t>Appendix paragraph 4. Acme Corp keeps records of every transaction for at least seven years, as required by law.</w:t>
      </w:r>
    </w:p>
    <w:p>
      <w:pPr>
        <w:spacing w:after="120"/>
      </w:pPr>
      <w:r>
        <w:t>Appendix paragraph 5. Acme Corp keeps records of every transaction for at least seven years, as required by law.</w:t>
      </w:r>
    </w:p>
    <w:p>
      <w:pPr>
        <w:spacing w:after="120"/>
      </w:pPr>
      <w:r>
        <w:t>Appendix paragraph 6. Acme Corp keeps records of every transaction for at least seven years, as required by law.</w:t>
      </w:r>
    </w:p>
    <w:sectPr w:rsidR="00FC693F" w:rsidRPr="0006063C" w:rsidSect="00034616">
      <w:pgSz w:w="16838" w:h="11906" w:orient="landscape"/>
      <w:pgMar w:top="1417" w:right="1134" w:bottom="1134" w:left="1701" w:header="720" w:footer="720" w:gutter="0"/>
      <w:cols w:space="70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- Quarterly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ac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