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Оплата тарифа и закрывающие документы</w:t>
      </w:r>
    </w:p>
    <w:p>
      <w:r>
        <w:t>Тариф выбирается в разделе «Биллинг» → «Тариф». Оплата картой зачисляется сразу, по счёту для юридических лиц — в течение 1–3 рабочих дней. Счета и акты доступны в разделе «Биллинг» → «Документы».</w:t>
      </w:r>
    </w:p>
    <w:p>
      <w:r>
        <w:t>Раздел справки 4.1 · статья KB-007 · обновлено 12.03.2025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Оплата тарифа и закрывающие документы</dc:title>
  <dc:subject>Справка «Личный кабинет»: Тарифы и оплата</dc:subject>
  <dc:creator>Финансовый отдел</dc:creator>
  <cp:keywords>KB-007</cp:keywords>
  <dc:description/>
  <cp:lastModifiedBy>Финансовый отдел</cp:lastModifiedBy>
  <cp:revision>1</cp:revision>
  <dcterms:created xsi:type="dcterms:W3CDTF">2025-03-12T00:00:00Z</dcterms:created>
  <dcterms:modified xsi:type="dcterms:W3CDTF">2025-03-12T00:00:00Z</dcterms:modified>
  <cp:category>billing</cp:category>
</cp:coreProperties>
</file>