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156" w:beforeLines="50" w:after="156" w:afterLines="50"/>
        <w:jc w:val="center"/>
        <w:rPr>
          <w:rFonts w:ascii="黑体" w:hAnsi="黑体" w:eastAsia="黑体"/>
          <w:b/>
          <w:sz w:val="36"/>
          <w:szCs w:val="36"/>
        </w:rPr>
      </w:pPr>
      <w:r>
        <w:rPr>
          <w:rFonts w:hint="eastAsia" w:ascii="黑体" w:hAnsi="黑体" w:eastAsia="黑体"/>
          <w:b/>
          <w:sz w:val="36"/>
          <w:szCs w:val="36"/>
        </w:rPr>
        <w:t>4.</w:t>
      </w:r>
      <w:r>
        <w:rPr>
          <w:rFonts w:ascii="黑体" w:hAnsi="黑体" w:eastAsia="黑体"/>
          <w:b/>
          <w:sz w:val="36"/>
          <w:szCs w:val="36"/>
        </w:rPr>
        <w:t>1</w:t>
      </w:r>
      <w:r>
        <w:rPr>
          <w:rFonts w:hint="eastAsia" w:ascii="黑体" w:hAnsi="黑体" w:eastAsia="黑体"/>
          <w:b/>
          <w:sz w:val="36"/>
          <w:szCs w:val="36"/>
        </w:rPr>
        <w:t xml:space="preserve"> 光栅特性及光波波长的测定</w:t>
      </w:r>
    </w:p>
    <w:p>
      <w:pPr>
        <w:adjustRightInd w:val="0"/>
        <w:snapToGrid w:val="0"/>
        <w:spacing w:before="156" w:beforeLines="50" w:after="156" w:afterLines="50"/>
        <w:jc w:val="center"/>
        <w:rPr>
          <w:rFonts w:hint="default" w:ascii="宋体" w:hAnsi="宋体"/>
          <w:sz w:val="24"/>
          <w:szCs w:val="24"/>
          <w:lang w:val="en-US"/>
        </w:rPr>
      </w:pPr>
      <w:r>
        <w:rPr>
          <w:rFonts w:hint="eastAsia" w:ascii="宋体" w:hAnsi="宋体"/>
          <w:sz w:val="24"/>
          <w:szCs w:val="24"/>
          <w:lang w:val="en-US" w:eastAsia="zh-CN"/>
        </w:rPr>
        <w:t>22计科全英创新班</w:t>
      </w:r>
      <w:bookmarkStart w:id="0" w:name="_GoBack"/>
      <w:bookmarkEnd w:id="0"/>
      <w:r>
        <w:rPr>
          <w:rFonts w:hint="eastAsia" w:ascii="宋体" w:hAnsi="宋体"/>
          <w:sz w:val="24"/>
          <w:szCs w:val="24"/>
          <w:lang w:val="en-US" w:eastAsia="zh-CN"/>
        </w:rPr>
        <w:t xml:space="preserve"> 陈** 2022********</w:t>
      </w:r>
    </w:p>
    <w:p>
      <w:pPr>
        <w:adjustRightInd w:val="0"/>
        <w:snapToGrid w:val="0"/>
        <w:spacing w:before="156" w:beforeLines="50" w:after="156" w:afterLines="50"/>
        <w:rPr>
          <w:rFonts w:ascii="黑体" w:hAnsi="黑体" w:eastAsia="黑体"/>
          <w:b/>
          <w:sz w:val="28"/>
          <w:szCs w:val="28"/>
        </w:rPr>
      </w:pPr>
      <w:r>
        <w:rPr>
          <w:rFonts w:hint="eastAsia" w:ascii="黑体" w:hAnsi="黑体" w:eastAsia="黑体"/>
          <w:b/>
          <w:sz w:val="28"/>
          <w:szCs w:val="28"/>
        </w:rPr>
        <w:t>一、实验目的</w:t>
      </w:r>
    </w:p>
    <w:p>
      <w:pPr>
        <w:adjustRightInd w:val="0"/>
        <w:snapToGrid w:val="0"/>
        <w:spacing w:before="156" w:beforeLines="50" w:after="156" w:afterLines="50"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ab/>
      </w:r>
      <w:r>
        <w:rPr>
          <w:rFonts w:hint="eastAsia" w:ascii="宋体" w:hAnsi="宋体"/>
          <w:color w:val="000000" w:themeColor="text1"/>
          <w:sz w:val="24"/>
          <w:szCs w:val="24"/>
          <w14:textFill>
            <w14:solidFill>
              <w14:schemeClr w14:val="tx1"/>
            </w14:solidFill>
          </w14:textFill>
        </w:rPr>
        <w:t>进一步掌握分光计的构造、使用和调节方法；</w:t>
      </w:r>
    </w:p>
    <w:p>
      <w:pPr>
        <w:adjustRightInd w:val="0"/>
        <w:snapToGrid w:val="0"/>
        <w:spacing w:before="156" w:beforeLines="50" w:after="156" w:afterLines="50"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ab/>
      </w:r>
      <w:r>
        <w:rPr>
          <w:rFonts w:hint="eastAsia" w:ascii="宋体" w:hAnsi="宋体"/>
          <w:color w:val="000000" w:themeColor="text1"/>
          <w:sz w:val="24"/>
          <w:szCs w:val="24"/>
          <w14:textFill>
            <w14:solidFill>
              <w14:schemeClr w14:val="tx1"/>
            </w14:solidFill>
          </w14:textFill>
        </w:rPr>
        <w:t>观察光通过透射光栅的衍射现象，了解光栅的作用和基本特性；</w:t>
      </w:r>
    </w:p>
    <w:p>
      <w:pPr>
        <w:adjustRightInd w:val="0"/>
        <w:snapToGrid w:val="0"/>
        <w:spacing w:before="156" w:beforeLines="50" w:after="156" w:afterLines="50"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ab/>
      </w:r>
      <w:r>
        <w:rPr>
          <w:rFonts w:hint="eastAsia" w:ascii="宋体" w:hAnsi="宋体"/>
          <w:color w:val="000000" w:themeColor="text1"/>
          <w:sz w:val="24"/>
          <w:szCs w:val="24"/>
          <w14:textFill>
            <w14:solidFill>
              <w14:schemeClr w14:val="tx1"/>
            </w14:solidFill>
          </w14:textFill>
        </w:rPr>
        <w:t>学会用光栅测定光栅常数、分辨本领、角色散率和未知光波波长.</w:t>
      </w:r>
    </w:p>
    <w:p>
      <w:pPr>
        <w:adjustRightInd w:val="0"/>
        <w:snapToGrid w:val="0"/>
        <w:spacing w:before="156" w:beforeLines="50" w:after="156" w:afterLines="50"/>
        <w:rPr>
          <w:rFonts w:ascii="宋体" w:hAnsi="宋体"/>
          <w:color w:val="0000CC"/>
          <w:sz w:val="24"/>
          <w:szCs w:val="24"/>
        </w:rPr>
      </w:pPr>
      <w:r>
        <w:rPr>
          <w:rFonts w:hint="eastAsia" w:ascii="黑体" w:hAnsi="黑体" w:eastAsia="黑体"/>
          <w:b/>
          <w:sz w:val="28"/>
          <w:szCs w:val="28"/>
        </w:rPr>
        <w:t>二、实验仪器</w:t>
      </w:r>
    </w:p>
    <w:p>
      <w:pPr>
        <w:adjustRightInd w:val="0"/>
        <w:snapToGrid w:val="0"/>
        <w:spacing w:before="156" w:beforeLines="50" w:after="156" w:afterLines="50"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ab/>
      </w:r>
      <w:r>
        <w:rPr>
          <w:rFonts w:hint="eastAsia" w:ascii="宋体" w:hAnsi="宋体"/>
          <w:color w:val="000000" w:themeColor="text1"/>
          <w:sz w:val="24"/>
          <w:szCs w:val="24"/>
          <w14:textFill>
            <w14:solidFill>
              <w14:schemeClr w14:val="tx1"/>
            </w14:solidFill>
          </w14:textFill>
        </w:rPr>
        <w:t>分光计、平面镜、光栅、汞灯及其电源。</w:t>
      </w:r>
    </w:p>
    <w:p>
      <w:pPr>
        <w:adjustRightInd w:val="0"/>
        <w:snapToGrid w:val="0"/>
        <w:spacing w:before="156" w:beforeLines="50" w:after="156" w:afterLines="50"/>
        <w:rPr>
          <w:rFonts w:ascii="宋体" w:hAnsi="宋体"/>
          <w:color w:val="0000CC"/>
          <w:sz w:val="24"/>
          <w:szCs w:val="24"/>
        </w:rPr>
      </w:pPr>
      <w:r>
        <w:rPr>
          <w:rFonts w:hint="eastAsia" w:ascii="黑体" w:hAnsi="黑体" w:eastAsia="黑体"/>
          <w:b/>
          <w:sz w:val="28"/>
          <w:szCs w:val="28"/>
        </w:rPr>
        <w:t>三、实验原理</w:t>
      </w:r>
    </w:p>
    <w:p>
      <w:pPr>
        <w:adjustRightInd w:val="0"/>
        <w:snapToGrid w:val="0"/>
        <w:spacing w:before="156" w:beforeLines="50" w:after="156" w:afterLines="50"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（一）光栅常数和光栅方程</w:t>
      </w:r>
    </w:p>
    <w:p>
      <w:pPr>
        <w:adjustRightInd w:val="0"/>
        <w:snapToGrid w:val="0"/>
        <w:spacing w:before="156" w:beforeLines="50" w:after="156" w:afterLines="50" w:line="360" w:lineRule="auto"/>
        <w:ind w:firstLine="480" w:firstLineChars="200"/>
        <w:rPr>
          <w:rFonts w:ascii="宋体" w:hAnsi="宋体"/>
          <w:i/>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衍射光栅是由大量等宽、等间距、平行排列的狭缝构成的光学元件。用于可见光区的光栅每毫米缝数可达几百到上千条。设缝宽为</w:t>
      </w:r>
      <m:oMath>
        <m:r>
          <m:rPr/>
          <w:rPr>
            <w:rFonts w:hint="eastAsia" w:ascii="Cambria Math" w:hAnsi="Cambria Math"/>
            <w:color w:val="000000" w:themeColor="text1"/>
            <w:sz w:val="24"/>
            <w:szCs w:val="24"/>
            <w14:textFill>
              <w14:solidFill>
                <w14:schemeClr w14:val="tx1"/>
              </w14:solidFill>
            </w14:textFill>
          </w:rPr>
          <m:t>a</m:t>
        </m:r>
      </m:oMath>
      <w:r>
        <w:rPr>
          <w:rFonts w:hint="eastAsia" w:ascii="宋体" w:hAnsi="宋体"/>
          <w:color w:val="000000" w:themeColor="text1"/>
          <w:sz w:val="24"/>
          <w:szCs w:val="24"/>
          <w14:textFill>
            <w14:solidFill>
              <w14:schemeClr w14:val="tx1"/>
            </w14:solidFill>
          </w14:textFill>
        </w:rPr>
        <w:t>，相邻狭缝间不透光部分的宽度为</w:t>
      </w:r>
      <m:oMath>
        <m:r>
          <m:rPr/>
          <w:rPr>
            <w:rFonts w:hint="eastAsia" w:ascii="Cambria Math" w:hAnsi="Cambria Math"/>
            <w:color w:val="000000" w:themeColor="text1"/>
            <w:sz w:val="24"/>
            <w:szCs w:val="24"/>
            <w14:textFill>
              <w14:solidFill>
                <w14:schemeClr w14:val="tx1"/>
              </w14:solidFill>
            </w14:textFill>
          </w:rPr>
          <m:t>b</m:t>
        </m:r>
      </m:oMath>
      <w:r>
        <w:rPr>
          <w:rFonts w:hint="eastAsia" w:ascii="宋体" w:hAnsi="宋体"/>
          <w:color w:val="000000" w:themeColor="text1"/>
          <w:sz w:val="24"/>
          <w:szCs w:val="24"/>
          <w14:textFill>
            <w14:solidFill>
              <w14:schemeClr w14:val="tx1"/>
            </w14:solidFill>
          </w14:textFill>
        </w:rPr>
        <w:t>，则缝间距就称为光栅常数</w:t>
      </w:r>
      <m:oMath>
        <m:r>
          <m:rPr/>
          <w:rPr>
            <w:rFonts w:hint="eastAsia" w:ascii="Cambria Math" w:hAnsi="Cambria Math"/>
            <w:color w:val="000000" w:themeColor="text1"/>
            <w:sz w:val="24"/>
            <w:szCs w:val="24"/>
            <w14:textFill>
              <w14:solidFill>
                <w14:schemeClr w14:val="tx1"/>
              </w14:solidFill>
            </w14:textFill>
          </w:rPr>
          <m:t>d</m:t>
        </m:r>
        <m:r>
          <m:rPr/>
          <w:rPr>
            <w:rFonts w:ascii="Cambria Math" w:hAnsi="Cambria Math"/>
            <w:color w:val="000000" w:themeColor="text1"/>
            <w:sz w:val="24"/>
            <w:szCs w:val="24"/>
            <w14:textFill>
              <w14:solidFill>
                <w14:schemeClr w14:val="tx1"/>
              </w14:solidFill>
            </w14:textFill>
          </w:rPr>
          <m:t>=</m:t>
        </m:r>
        <m:r>
          <m:rPr/>
          <w:rPr>
            <w:rFonts w:hint="eastAsia" w:ascii="Cambria Math" w:hAnsi="Cambria Math"/>
            <w:color w:val="000000" w:themeColor="text1"/>
            <w:sz w:val="24"/>
            <w:szCs w:val="24"/>
            <w14:textFill>
              <w14:solidFill>
                <w14:schemeClr w14:val="tx1"/>
              </w14:solidFill>
            </w14:textFill>
          </w:rPr>
          <m:t>a</m:t>
        </m:r>
        <m:r>
          <m:rPr/>
          <w:rPr>
            <w:rFonts w:ascii="Cambria Math" w:hAnsi="Cambria Math"/>
            <w:color w:val="000000" w:themeColor="text1"/>
            <w:sz w:val="24"/>
            <w:szCs w:val="24"/>
            <w14:textFill>
              <w14:solidFill>
                <w14:schemeClr w14:val="tx1"/>
              </w14:solidFill>
            </w14:textFill>
          </w:rPr>
          <m:t>+</m:t>
        </m:r>
        <m:r>
          <m:rPr/>
          <w:rPr>
            <w:rFonts w:hint="eastAsia" w:ascii="Cambria Math" w:hAnsi="Cambria Math"/>
            <w:color w:val="000000" w:themeColor="text1"/>
            <w:sz w:val="24"/>
            <w:szCs w:val="24"/>
            <w14:textFill>
              <w14:solidFill>
                <w14:schemeClr w14:val="tx1"/>
              </w14:solidFill>
            </w14:textFill>
          </w:rPr>
          <m:t>b</m:t>
        </m:r>
      </m:oMath>
      <w:r>
        <w:rPr>
          <w:rFonts w:hint="eastAsia" w:ascii="宋体" w:hAnsi="宋体"/>
          <w:color w:val="000000" w:themeColor="text1"/>
          <w:sz w:val="24"/>
          <w:szCs w:val="24"/>
          <w14:textFill>
            <w14:solidFill>
              <w14:schemeClr w14:val="tx1"/>
            </w14:solidFill>
          </w14:textFill>
        </w:rPr>
        <w:t>。</w:t>
      </w:r>
    </w:p>
    <w:p>
      <w:pPr>
        <w:adjustRightInd w:val="0"/>
        <w:snapToGrid w:val="0"/>
        <w:spacing w:before="156" w:beforeLines="50" w:after="156" w:afterLines="50" w:line="360" w:lineRule="auto"/>
        <w:ind w:firstLine="480" w:firstLineChars="20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根据夫琅禾费衍射理论，波长为</w:t>
      </w:r>
      <m:oMath>
        <m:r>
          <m:rPr/>
          <w:rPr>
            <w:rFonts w:hint="eastAsia" w:ascii="Cambria Math" w:hAnsi="Cambria Math"/>
            <w:color w:val="000000" w:themeColor="text1"/>
            <w:sz w:val="24"/>
            <w:szCs w:val="24"/>
            <w14:textFill>
              <w14:solidFill>
                <w14:schemeClr w14:val="tx1"/>
              </w14:solidFill>
            </w14:textFill>
          </w:rPr>
          <m:t>λ</m:t>
        </m:r>
      </m:oMath>
      <w:r>
        <w:rPr>
          <w:rFonts w:hint="eastAsia" w:ascii="宋体" w:hAnsi="宋体"/>
          <w:color w:val="000000" w:themeColor="text1"/>
          <w:sz w:val="24"/>
          <w:szCs w:val="24"/>
          <w14:textFill>
            <w14:solidFill>
              <w14:schemeClr w14:val="tx1"/>
            </w14:solidFill>
          </w14:textFill>
        </w:rPr>
        <w:t>的平行垂直投射到光栅平面上时，光波将在每条狭缝处发生衍射，各缝的衍射光在叠加处又会产生干涉，干涉结果取决于光程差。因为光栅各狭缝间距相等，所以相邻狭缝沿</w:t>
      </w:r>
      <m:oMath>
        <m:r>
          <m:rPr/>
          <w:rPr>
            <w:rFonts w:hint="eastAsia" w:ascii="Cambria Math" w:hAnsi="Cambria Math"/>
            <w:color w:val="000000" w:themeColor="text1"/>
            <w:sz w:val="24"/>
            <w:szCs w:val="24"/>
            <w14:textFill>
              <w14:solidFill>
                <w14:schemeClr w14:val="tx1"/>
              </w14:solidFill>
            </w14:textFill>
          </w:rPr>
          <m:t>θ</m:t>
        </m:r>
      </m:oMath>
      <w:r>
        <w:rPr>
          <w:rFonts w:hint="eastAsia" w:ascii="宋体" w:hAnsi="宋体"/>
          <w:color w:val="000000" w:themeColor="text1"/>
          <w:sz w:val="24"/>
          <w:szCs w:val="24"/>
          <w14:textFill>
            <w14:solidFill>
              <w14:schemeClr w14:val="tx1"/>
            </w14:solidFill>
          </w14:textFill>
        </w:rPr>
        <w:t>方向行射光東的光程差都是</w:t>
      </w:r>
      <m:oMath>
        <m:r>
          <m:rPr/>
          <w:rPr>
            <w:rFonts w:hint="eastAsia" w:ascii="Cambria Math" w:hAnsi="Cambria Math"/>
            <w:color w:val="000000" w:themeColor="text1"/>
            <w:sz w:val="24"/>
            <w:szCs w:val="24"/>
            <w14:textFill>
              <w14:solidFill>
                <w14:schemeClr w14:val="tx1"/>
              </w14:solidFill>
            </w14:textFill>
          </w:rPr>
          <m:t>dsinθ</m:t>
        </m:r>
      </m:oMath>
      <w:r>
        <w:rPr>
          <w:rFonts w:hint="eastAsia" w:ascii="宋体" w:hAnsi="宋体"/>
          <w:color w:val="000000" w:themeColor="text1"/>
          <w:sz w:val="24"/>
          <w:szCs w:val="24"/>
          <w14:textFill>
            <w14:solidFill>
              <w14:schemeClr w14:val="tx1"/>
            </w14:solidFill>
          </w14:textFill>
        </w:rPr>
        <w:t>。</w:t>
      </w:r>
      <m:oMath>
        <m:r>
          <m:rPr/>
          <w:rPr>
            <w:rFonts w:hint="eastAsia" w:ascii="Cambria Math" w:hAnsi="Cambria Math"/>
            <w:color w:val="000000" w:themeColor="text1"/>
            <w:sz w:val="24"/>
            <w:szCs w:val="24"/>
            <w14:textFill>
              <w14:solidFill>
                <w14:schemeClr w14:val="tx1"/>
              </w14:solidFill>
            </w14:textFill>
          </w:rPr>
          <m:t>θ</m:t>
        </m:r>
      </m:oMath>
      <w:r>
        <w:rPr>
          <w:rFonts w:hint="eastAsia" w:ascii="宋体" w:hAnsi="宋体"/>
          <w:color w:val="000000" w:themeColor="text1"/>
          <w:sz w:val="24"/>
          <w:szCs w:val="24"/>
          <w14:textFill>
            <w14:solidFill>
              <w14:schemeClr w14:val="tx1"/>
            </w14:solidFill>
          </w14:textFill>
        </w:rPr>
        <w:t>是衍射光束与光栅法线的夹角，称为衍射角。</w:t>
      </w:r>
    </w:p>
    <w:p>
      <w:pPr>
        <w:adjustRightInd w:val="0"/>
        <w:snapToGrid w:val="0"/>
        <w:spacing w:before="156" w:beforeLines="50" w:after="156" w:afterLines="50" w:line="360" w:lineRule="auto"/>
        <w:ind w:firstLine="480" w:firstLineChars="20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在光栅后面放置一个会聚透镜，使透镜光轴平行于光栅法线,透镜将会使图</w:t>
      </w:r>
      <w:r>
        <w:rPr>
          <w:rFonts w:ascii="宋体" w:hAnsi="宋体"/>
          <w:color w:val="000000" w:themeColor="text1"/>
          <w:sz w:val="24"/>
          <w:szCs w:val="24"/>
          <w14:textFill>
            <w14:solidFill>
              <w14:schemeClr w14:val="tx1"/>
            </w14:solidFill>
          </w14:textFill>
        </w:rPr>
        <w:t>1</w:t>
      </w:r>
      <w:r>
        <w:rPr>
          <w:rFonts w:hint="eastAsia" w:ascii="宋体" w:hAnsi="宋体"/>
          <w:color w:val="000000" w:themeColor="text1"/>
          <w:sz w:val="24"/>
          <w:szCs w:val="24"/>
          <w14:textFill>
            <w14:solidFill>
              <w14:schemeClr w14:val="tx1"/>
            </w14:solidFill>
          </w14:textFill>
        </w:rPr>
        <w:t>所示平面上衍射角为</w:t>
      </w:r>
      <m:oMath>
        <m:r>
          <m:rPr/>
          <w:rPr>
            <w:rFonts w:hint="eastAsia" w:ascii="Cambria Math" w:hAnsi="Cambria Math"/>
            <w:color w:val="000000" w:themeColor="text1"/>
            <w:sz w:val="24"/>
            <w:szCs w:val="24"/>
            <w14:textFill>
              <w14:solidFill>
                <w14:schemeClr w14:val="tx1"/>
              </w14:solidFill>
            </w14:textFill>
          </w:rPr>
          <m:t>θ</m:t>
        </m:r>
      </m:oMath>
      <w:r>
        <w:rPr>
          <w:rFonts w:hint="eastAsia" w:ascii="宋体" w:hAnsi="宋体"/>
          <w:color w:val="000000" w:themeColor="text1"/>
          <w:sz w:val="24"/>
          <w:szCs w:val="24"/>
          <w14:textFill>
            <w14:solidFill>
              <w14:schemeClr w14:val="tx1"/>
            </w14:solidFill>
          </w14:textFill>
        </w:rPr>
        <w:t>的光都汇聚在焦平面上的</w:t>
      </w:r>
      <m:oMath>
        <m:r>
          <m:rPr/>
          <w:rPr>
            <w:rFonts w:hint="eastAsia" w:ascii="Cambria Math" w:hAnsi="Cambria Math"/>
            <w:color w:val="000000" w:themeColor="text1"/>
            <w:sz w:val="24"/>
            <w:szCs w:val="24"/>
            <w14:textFill>
              <w14:solidFill>
                <w14:schemeClr w14:val="tx1"/>
              </w14:solidFill>
            </w14:textFill>
          </w:rPr>
          <m:t>P</m:t>
        </m:r>
      </m:oMath>
      <w:r>
        <w:rPr>
          <w:rFonts w:hint="eastAsia" w:ascii="宋体" w:hAnsi="宋体"/>
          <w:color w:val="000000" w:themeColor="text1"/>
          <w:sz w:val="24"/>
          <w:szCs w:val="24"/>
          <w14:textFill>
            <w14:solidFill>
              <w14:schemeClr w14:val="tx1"/>
            </w14:solidFill>
          </w14:textFill>
        </w:rPr>
        <w:t>点。根据多光束干涉原理，在</w:t>
      </w:r>
      <m:oMath>
        <m:r>
          <m:rPr/>
          <w:rPr>
            <w:rFonts w:hint="eastAsia" w:ascii="Cambria Math" w:hAnsi="Cambria Math"/>
            <w:color w:val="000000" w:themeColor="text1"/>
            <w:sz w:val="24"/>
            <w:szCs w:val="24"/>
            <w14:textFill>
              <w14:solidFill>
                <w14:schemeClr w14:val="tx1"/>
              </w14:solidFill>
            </w14:textFill>
          </w:rPr>
          <m:t>θ</m:t>
        </m:r>
      </m:oMath>
      <w:r>
        <w:rPr>
          <w:rFonts w:hint="eastAsia" w:ascii="宋体" w:hAnsi="宋体"/>
          <w:color w:val="000000" w:themeColor="text1"/>
          <w:sz w:val="24"/>
          <w:szCs w:val="24"/>
          <w14:textFill>
            <w14:solidFill>
              <w14:schemeClr w14:val="tx1"/>
            </w14:solidFill>
          </w14:textFill>
        </w:rPr>
        <w:t>满足下式时将产生干涉主极大，</w:t>
      </w:r>
      <m:oMath>
        <m:r>
          <m:rPr/>
          <w:rPr>
            <w:rFonts w:hint="eastAsia" w:ascii="Cambria Math" w:hAnsi="Cambria Math"/>
            <w:color w:val="000000" w:themeColor="text1"/>
            <w:sz w:val="24"/>
            <w:szCs w:val="24"/>
            <w14:textFill>
              <w14:solidFill>
                <w14:schemeClr w14:val="tx1"/>
              </w14:solidFill>
            </w14:textFill>
          </w:rPr>
          <m:t>P</m:t>
        </m:r>
      </m:oMath>
      <w:r>
        <w:rPr>
          <w:rFonts w:hint="eastAsia" w:ascii="宋体" w:hAnsi="宋体"/>
          <w:color w:val="000000" w:themeColor="text1"/>
          <w:sz w:val="24"/>
          <w:szCs w:val="24"/>
          <w14:textFill>
            <w14:solidFill>
              <w14:schemeClr w14:val="tx1"/>
            </w14:solidFill>
          </w14:textFill>
        </w:rPr>
        <w:t>点为亮点：</w:t>
      </w:r>
    </w:p>
    <w:p>
      <w:pPr>
        <w:adjustRightInd w:val="0"/>
        <w:snapToGrid w:val="0"/>
        <w:spacing w:before="156" w:beforeLines="50" w:after="156" w:afterLines="50" w:line="360" w:lineRule="auto"/>
        <w:ind w:firstLine="480" w:firstLineChars="200"/>
        <w:rPr>
          <w:rFonts w:ascii="宋体" w:hAnsi="宋体"/>
          <w:color w:val="000000" w:themeColor="text1"/>
          <w:sz w:val="24"/>
          <w:szCs w:val="24"/>
          <w14:textFill>
            <w14:solidFill>
              <w14:schemeClr w14:val="tx1"/>
            </w14:solidFill>
          </w14:textFill>
        </w:rPr>
      </w:pPr>
      <m:oMathPara>
        <m:oMath>
          <m:r>
            <m:rPr/>
            <w:rPr>
              <w:rFonts w:hint="eastAsia" w:ascii="Cambria Math" w:hAnsi="Cambria Math"/>
              <w:color w:val="000000" w:themeColor="text1"/>
              <w:sz w:val="24"/>
              <w:szCs w:val="24"/>
              <w14:textFill>
                <w14:solidFill>
                  <w14:schemeClr w14:val="tx1"/>
                </w14:solidFill>
              </w14:textFill>
            </w:rPr>
            <m:t>dsinθ</m:t>
          </m:r>
          <m:r>
            <m:rPr/>
            <w:rPr>
              <w:rFonts w:ascii="Cambria Math" w:hAnsi="Cambria Math"/>
              <w:color w:val="000000" w:themeColor="text1"/>
              <w:sz w:val="24"/>
              <w:szCs w:val="24"/>
              <w14:textFill>
                <w14:solidFill>
                  <w14:schemeClr w14:val="tx1"/>
                </w14:solidFill>
              </w14:textFill>
            </w:rPr>
            <m:t>=</m:t>
          </m:r>
          <m:r>
            <m:rPr/>
            <w:rPr>
              <w:rFonts w:hint="eastAsia" w:ascii="Cambria Math" w:hAnsi="Cambria Math"/>
              <w:color w:val="000000" w:themeColor="text1"/>
              <w:sz w:val="24"/>
              <w:szCs w:val="24"/>
              <w14:textFill>
                <w14:solidFill>
                  <w14:schemeClr w14:val="tx1"/>
                </w14:solidFill>
              </w14:textFill>
            </w:rPr>
            <m:t>kλ</m:t>
          </m:r>
        </m:oMath>
      </m:oMathPara>
    </w:p>
    <w:p>
      <w:pPr>
        <w:adjustRightInd w:val="0"/>
        <w:snapToGrid w:val="0"/>
        <w:spacing w:before="156" w:beforeLines="50" w:after="156" w:afterLines="50"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式中，</w:t>
      </w:r>
      <m:oMath>
        <m:r>
          <m:rPr/>
          <w:rPr>
            <w:rFonts w:hint="eastAsia" w:ascii="Cambria Math" w:hAnsi="Cambria Math"/>
            <w:color w:val="000000" w:themeColor="text1"/>
            <w:sz w:val="24"/>
            <w:szCs w:val="24"/>
            <w14:textFill>
              <w14:solidFill>
                <w14:schemeClr w14:val="tx1"/>
              </w14:solidFill>
            </w14:textFill>
          </w:rPr>
          <m:t>k</m:t>
        </m:r>
      </m:oMath>
      <w:r>
        <w:rPr>
          <w:rFonts w:hint="eastAsia" w:ascii="宋体" w:hAnsi="宋体"/>
          <w:color w:val="000000" w:themeColor="text1"/>
          <w:sz w:val="24"/>
          <w:szCs w:val="24"/>
          <w14:textFill>
            <w14:solidFill>
              <w14:schemeClr w14:val="tx1"/>
            </w14:solidFill>
          </w14:textFill>
        </w:rPr>
        <w:t>是级数，</w:t>
      </w:r>
      <m:oMath>
        <m:r>
          <m:rPr/>
          <w:rPr>
            <w:rFonts w:hint="eastAsia" w:ascii="Cambria Math" w:hAnsi="Cambria Math"/>
            <w:color w:val="000000" w:themeColor="text1"/>
            <w:sz w:val="24"/>
            <w:szCs w:val="24"/>
            <w14:textFill>
              <w14:solidFill>
                <w14:schemeClr w14:val="tx1"/>
              </w14:solidFill>
            </w14:textFill>
          </w:rPr>
          <m:t>d</m:t>
        </m:r>
      </m:oMath>
      <w:r>
        <w:rPr>
          <w:rFonts w:hint="eastAsia" w:ascii="宋体" w:hAnsi="宋体"/>
          <w:color w:val="000000" w:themeColor="text1"/>
          <w:sz w:val="24"/>
          <w:szCs w:val="24"/>
          <w14:textFill>
            <w14:solidFill>
              <w14:schemeClr w14:val="tx1"/>
            </w14:solidFill>
          </w14:textFill>
        </w:rPr>
        <w:t>是光栅常数。该式称为光栅方程，是衍射光栅的基本公式。由该式可知，</w:t>
      </w:r>
      <m:oMath>
        <m:r>
          <m:rPr/>
          <w:rPr>
            <w:rFonts w:hint="eastAsia" w:ascii="Cambria Math" w:hAnsi="Cambria Math"/>
            <w:color w:val="000000" w:themeColor="text1"/>
            <w:sz w:val="24"/>
            <w:szCs w:val="24"/>
            <w14:textFill>
              <w14:solidFill>
                <w14:schemeClr w14:val="tx1"/>
              </w14:solidFill>
            </w14:textFill>
          </w:rPr>
          <m:t>θ=0</m:t>
        </m:r>
      </m:oMath>
      <w:r>
        <w:rPr>
          <w:rFonts w:hint="eastAsia" w:ascii="宋体" w:hAnsi="宋体"/>
          <w:color w:val="000000" w:themeColor="text1"/>
          <w:sz w:val="24"/>
          <w:szCs w:val="24"/>
          <w14:textFill>
            <w14:solidFill>
              <w14:schemeClr w14:val="tx1"/>
            </w14:solidFill>
          </w14:textFill>
        </w:rPr>
        <w:t>对应中央主极大，</w:t>
      </w:r>
      <m:oMath>
        <m:sSub>
          <m:sSubPr>
            <m:ctrlPr>
              <w:rPr>
                <w:rFonts w:ascii="Cambria Math" w:hAnsi="Cambria Math"/>
                <w:i/>
                <w:color w:val="000000" w:themeColor="text1"/>
                <w:sz w:val="24"/>
                <w:szCs w:val="24"/>
                <w14:textFill>
                  <w14:solidFill>
                    <w14:schemeClr w14:val="tx1"/>
                  </w14:solidFill>
                </w14:textFill>
              </w:rPr>
            </m:ctrlPr>
          </m:sSubPr>
          <m:e>
            <m:r>
              <m:rPr/>
              <w:rPr>
                <w:rFonts w:hint="eastAsia" w:ascii="Cambria Math" w:hAnsi="Cambria Math"/>
                <w:color w:val="000000" w:themeColor="text1"/>
                <w:sz w:val="24"/>
                <w:szCs w:val="24"/>
                <w14:textFill>
                  <w14:solidFill>
                    <w14:schemeClr w14:val="tx1"/>
                  </w14:solidFill>
                </w14:textFill>
              </w:rPr>
              <m:t>P</m:t>
            </m:r>
            <m:ctrlPr>
              <w:rPr>
                <w:rFonts w:ascii="Cambria Math" w:hAnsi="Cambria Math"/>
                <w:i/>
                <w:color w:val="000000" w:themeColor="text1"/>
                <w:sz w:val="24"/>
                <w:szCs w:val="24"/>
                <w14:textFill>
                  <w14:solidFill>
                    <w14:schemeClr w14:val="tx1"/>
                  </w14:solidFill>
                </w14:textFill>
              </w:rPr>
            </m:ctrlPr>
          </m:e>
          <m:sub>
            <m:r>
              <m:rPr/>
              <w:rPr>
                <w:rFonts w:ascii="Cambria Math" w:hAnsi="Cambria Math"/>
                <w:color w:val="000000" w:themeColor="text1"/>
                <w:sz w:val="24"/>
                <w:szCs w:val="24"/>
                <w14:textFill>
                  <w14:solidFill>
                    <w14:schemeClr w14:val="tx1"/>
                  </w14:solidFill>
                </w14:textFill>
              </w:rPr>
              <m:t>0</m:t>
            </m:r>
            <m:ctrlPr>
              <w:rPr>
                <w:rFonts w:ascii="Cambria Math" w:hAnsi="Cambria Math"/>
                <w:i/>
                <w:color w:val="000000" w:themeColor="text1"/>
                <w:sz w:val="24"/>
                <w:szCs w:val="24"/>
                <w14:textFill>
                  <w14:solidFill>
                    <w14:schemeClr w14:val="tx1"/>
                  </w14:solidFill>
                </w14:textFill>
              </w:rPr>
            </m:ctrlPr>
          </m:sub>
        </m:sSub>
      </m:oMath>
      <w:r>
        <w:rPr>
          <w:rFonts w:hint="eastAsia" w:ascii="宋体" w:hAnsi="宋体"/>
          <w:color w:val="000000" w:themeColor="text1"/>
          <w:sz w:val="24"/>
          <w:szCs w:val="24"/>
          <w14:textFill>
            <w14:solidFill>
              <w14:schemeClr w14:val="tx1"/>
            </w14:solidFill>
          </w14:textFill>
        </w:rPr>
        <w:t>点为亮点。中央主极大两边对称排列着</w:t>
      </w:r>
      <m:oMath>
        <m:r>
          <m:rPr/>
          <w:rPr>
            <w:rFonts w:ascii="Cambria Math" w:hAnsi="Cambria Math"/>
            <w:color w:val="000000" w:themeColor="text1"/>
            <w:sz w:val="24"/>
            <w:szCs w:val="24"/>
            <w14:textFill>
              <w14:solidFill>
                <w14:schemeClr w14:val="tx1"/>
              </w14:solidFill>
            </w14:textFill>
          </w:rPr>
          <m:t>±</m:t>
        </m:r>
      </m:oMath>
      <w:r>
        <w:rPr>
          <w:rFonts w:hint="eastAsia" w:ascii="宋体" w:hAnsi="宋体"/>
          <w:color w:val="000000" w:themeColor="text1"/>
          <w:sz w:val="24"/>
          <w:szCs w:val="24"/>
          <w14:textFill>
            <w14:solidFill>
              <w14:schemeClr w14:val="tx1"/>
            </w14:solidFill>
          </w14:textFill>
        </w:rPr>
        <w:t>1级、</w:t>
      </w:r>
      <m:oMath>
        <m:r>
          <m:rPr/>
          <w:rPr>
            <w:rFonts w:ascii="Cambria Math" w:hAnsi="Cambria Math"/>
            <w:color w:val="000000" w:themeColor="text1"/>
            <w:sz w:val="24"/>
            <w:szCs w:val="24"/>
            <w14:textFill>
              <w14:solidFill>
                <w14:schemeClr w14:val="tx1"/>
              </w14:solidFill>
            </w14:textFill>
          </w:rPr>
          <m:t>±</m:t>
        </m:r>
        <m:r>
          <m:rPr/>
          <w:rPr>
            <w:rFonts w:hint="eastAsia" w:ascii="Cambria Math" w:hAnsi="Cambria Math"/>
            <w:color w:val="000000" w:themeColor="text1"/>
            <w:sz w:val="24"/>
            <w:szCs w:val="24"/>
            <w14:textFill>
              <w14:solidFill>
                <w14:schemeClr w14:val="tx1"/>
              </w14:solidFill>
            </w14:textFill>
          </w:rPr>
          <m:t>2</m:t>
        </m:r>
      </m:oMath>
      <w:r>
        <w:rPr>
          <w:rFonts w:hint="eastAsia" w:ascii="宋体" w:hAnsi="宋体"/>
          <w:color w:val="000000" w:themeColor="text1"/>
          <w:sz w:val="24"/>
          <w:szCs w:val="24"/>
          <w14:textFill>
            <w14:solidFill>
              <w14:schemeClr w14:val="tx1"/>
            </w14:solidFill>
          </w14:textFill>
        </w:rPr>
        <w:t>级等的主极大。实际光栅的狭缝数目很大，缝宽很小，所以当平行光产生的光源为细长的狭缝时，光栅的衍射图样将是平行排列的细锐亮线，这些亮线就是光源狭缝的衍射干涉条纹。</w:t>
      </w:r>
    </w:p>
    <w:p>
      <w:pPr>
        <w:adjustRightInd w:val="0"/>
        <w:snapToGrid w:val="0"/>
        <w:spacing w:before="156" w:beforeLines="50" w:after="156" w:afterLines="50" w:line="360" w:lineRule="auto"/>
        <w:ind w:firstLine="480" w:firstLineChars="20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当入射光为复色光时，由光栅方程可知，对给定常数</w:t>
      </w:r>
      <m:oMath>
        <m:r>
          <m:rPr/>
          <w:rPr>
            <w:rFonts w:hint="eastAsia" w:ascii="Cambria Math" w:hAnsi="Cambria Math"/>
            <w:color w:val="000000" w:themeColor="text1"/>
            <w:sz w:val="24"/>
            <w:szCs w:val="24"/>
            <w14:textFill>
              <w14:solidFill>
                <w14:schemeClr w14:val="tx1"/>
              </w14:solidFill>
            </w14:textFill>
          </w:rPr>
          <m:t>d</m:t>
        </m:r>
      </m:oMath>
      <w:r>
        <w:rPr>
          <w:rFonts w:hint="eastAsia" w:ascii="宋体" w:hAnsi="宋体"/>
          <w:color w:val="000000" w:themeColor="text1"/>
          <w:sz w:val="24"/>
          <w:szCs w:val="24"/>
          <w14:textFill>
            <w14:solidFill>
              <w14:schemeClr w14:val="tx1"/>
            </w14:solidFill>
          </w14:textFill>
        </w:rPr>
        <w:t>的光栅，只有在</w:t>
      </w:r>
      <m:oMath>
        <m:r>
          <m:rPr/>
          <w:rPr>
            <w:rFonts w:hint="eastAsia" w:ascii="Cambria Math" w:hAnsi="Cambria Math"/>
            <w:color w:val="000000" w:themeColor="text1"/>
            <w:sz w:val="24"/>
            <w:szCs w:val="24"/>
            <w14:textFill>
              <w14:solidFill>
                <w14:schemeClr w14:val="tx1"/>
              </w14:solidFill>
            </w14:textFill>
          </w:rPr>
          <m:t>k=0</m:t>
        </m:r>
      </m:oMath>
      <w:r>
        <w:rPr>
          <w:rFonts w:hint="eastAsia" w:ascii="宋体" w:hAnsi="宋体"/>
          <w:color w:val="000000" w:themeColor="text1"/>
          <w:sz w:val="24"/>
          <w:szCs w:val="24"/>
          <w14:textFill>
            <w14:solidFill>
              <w14:schemeClr w14:val="tx1"/>
            </w14:solidFill>
          </w14:textFill>
        </w:rPr>
        <w:t>即</w:t>
      </w:r>
      <m:oMath>
        <m:r>
          <m:rPr/>
          <w:rPr>
            <w:rFonts w:hint="eastAsia" w:ascii="Cambria Math" w:hAnsi="Cambria Math"/>
            <w:color w:val="000000" w:themeColor="text1"/>
            <w:sz w:val="24"/>
            <w:szCs w:val="24"/>
            <w14:textFill>
              <w14:solidFill>
                <w14:schemeClr w14:val="tx1"/>
              </w14:solidFill>
            </w14:textFill>
          </w:rPr>
          <m:t>θ=0</m:t>
        </m:r>
      </m:oMath>
      <w:r>
        <w:rPr>
          <w:rFonts w:hint="eastAsia" w:ascii="宋体" w:hAnsi="宋体"/>
          <w:color w:val="000000" w:themeColor="text1"/>
          <w:sz w:val="24"/>
          <w:szCs w:val="24"/>
          <w14:textFill>
            <w14:solidFill>
              <w14:schemeClr w14:val="tx1"/>
            </w14:solidFill>
          </w14:textFill>
        </w:rPr>
        <w:t>时，该复色光所包含的各种波长的中央主极大重合，在透镜的焦平面上形成明亮的中央零级亮线；对</w:t>
      </w:r>
      <m:oMath>
        <m:r>
          <m:rPr/>
          <w:rPr>
            <w:rFonts w:hint="eastAsia" w:ascii="Cambria Math" w:hAnsi="Cambria Math"/>
            <w:color w:val="000000" w:themeColor="text1"/>
            <w:sz w:val="24"/>
            <w:szCs w:val="24"/>
            <w14:textFill>
              <w14:solidFill>
                <w14:schemeClr w14:val="tx1"/>
              </w14:solidFill>
            </w14:textFill>
          </w:rPr>
          <m:t>k</m:t>
        </m:r>
      </m:oMath>
      <w:r>
        <w:rPr>
          <w:rFonts w:hint="eastAsia" w:ascii="宋体" w:hAnsi="宋体"/>
          <w:color w:val="000000" w:themeColor="text1"/>
          <w:sz w:val="24"/>
          <w:szCs w:val="24"/>
          <w14:textFill>
            <w14:solidFill>
              <w14:schemeClr w14:val="tx1"/>
            </w14:solidFill>
          </w14:textFill>
        </w:rPr>
        <w:t>的其他值，各种波长的主极大都不重合，不同波长的细锐亮线出现在衍射角不同的方位。由此形成的光谱称为光栅光谱。级数</w:t>
      </w:r>
      <m:oMath>
        <m:r>
          <m:rPr/>
          <w:rPr>
            <w:rFonts w:hint="eastAsia" w:ascii="Cambria Math" w:hAnsi="Cambria Math"/>
            <w:color w:val="000000" w:themeColor="text1"/>
            <w:sz w:val="24"/>
            <w:szCs w:val="24"/>
            <w14:textFill>
              <w14:solidFill>
                <w14:schemeClr w14:val="tx1"/>
              </w14:solidFill>
            </w14:textFill>
          </w:rPr>
          <m:t>k</m:t>
        </m:r>
      </m:oMath>
      <w:r>
        <w:rPr>
          <w:rFonts w:hint="eastAsia" w:ascii="宋体" w:hAnsi="宋体"/>
          <w:color w:val="000000" w:themeColor="text1"/>
          <w:sz w:val="24"/>
          <w:szCs w:val="24"/>
          <w14:textFill>
            <w14:solidFill>
              <w14:schemeClr w14:val="tx1"/>
            </w14:solidFill>
          </w14:textFill>
        </w:rPr>
        <w:t>相同的各种波长的亮线在零级亮线的两边按短波到长波的次序对称排列形成光谱，</w:t>
      </w:r>
      <m:oMath>
        <m:r>
          <m:rPr/>
          <w:rPr>
            <w:rFonts w:hint="eastAsia" w:ascii="Cambria Math" w:hAnsi="Cambria Math"/>
            <w:color w:val="000000" w:themeColor="text1"/>
            <w:sz w:val="24"/>
            <w:szCs w:val="24"/>
            <w14:textFill>
              <w14:solidFill>
                <w14:schemeClr w14:val="tx1"/>
              </w14:solidFill>
            </w14:textFill>
          </w:rPr>
          <m:t>k=1</m:t>
        </m:r>
      </m:oMath>
      <w:r>
        <w:rPr>
          <w:rFonts w:hint="eastAsia" w:ascii="宋体" w:hAnsi="宋体"/>
          <w:color w:val="000000" w:themeColor="text1"/>
          <w:sz w:val="24"/>
          <w:szCs w:val="24"/>
          <w14:textFill>
            <w14:solidFill>
              <w14:schemeClr w14:val="tx1"/>
            </w14:solidFill>
          </w14:textFill>
        </w:rPr>
        <w:t>为一级光谱，</w:t>
      </w:r>
      <m:oMath>
        <m:r>
          <m:rPr/>
          <w:rPr>
            <w:rFonts w:hint="eastAsia" w:ascii="Cambria Math" w:hAnsi="Cambria Math"/>
            <w:color w:val="000000" w:themeColor="text1"/>
            <w:sz w:val="24"/>
            <w:szCs w:val="24"/>
            <w14:textFill>
              <w14:solidFill>
                <w14:schemeClr w14:val="tx1"/>
              </w14:solidFill>
            </w14:textFill>
          </w:rPr>
          <m:t>k</m:t>
        </m:r>
        <m:r>
          <m:rPr/>
          <w:rPr>
            <w:rFonts w:ascii="Cambria Math" w:hAnsi="Cambria Math"/>
            <w:color w:val="000000" w:themeColor="text1"/>
            <w:sz w:val="24"/>
            <w:szCs w:val="24"/>
            <w14:textFill>
              <w14:solidFill>
                <w14:schemeClr w14:val="tx1"/>
              </w14:solidFill>
            </w14:textFill>
          </w:rPr>
          <m:t>=2</m:t>
        </m:r>
      </m:oMath>
      <w:r>
        <w:rPr>
          <w:rFonts w:hint="eastAsia" w:ascii="宋体" w:hAnsi="宋体"/>
          <w:color w:val="000000" w:themeColor="text1"/>
          <w:sz w:val="24"/>
          <w:szCs w:val="24"/>
          <w14:textFill>
            <w14:solidFill>
              <w14:schemeClr w14:val="tx1"/>
            </w14:solidFill>
          </w14:textFill>
        </w:rPr>
        <w:t>为二级光谱</w:t>
      </w:r>
      <w:r>
        <w:rPr>
          <w:rFonts w:ascii="宋体" w:hAnsi="宋体"/>
          <w:color w:val="000000" w:themeColor="text1"/>
          <w:sz w:val="24"/>
          <w:szCs w:val="24"/>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各种波长的细锐亮线称为光谱线。如果已知光栅常数</w:t>
      </w:r>
      <m:oMath>
        <m:r>
          <m:rPr/>
          <w:rPr>
            <w:rFonts w:hint="eastAsia" w:ascii="Cambria Math" w:hAnsi="Cambria Math"/>
            <w:color w:val="000000" w:themeColor="text1"/>
            <w:sz w:val="24"/>
            <w:szCs w:val="24"/>
            <w14:textFill>
              <w14:solidFill>
                <w14:schemeClr w14:val="tx1"/>
              </w14:solidFill>
            </w14:textFill>
          </w:rPr>
          <m:t>d</m:t>
        </m:r>
      </m:oMath>
      <w:r>
        <w:rPr>
          <w:rFonts w:hint="eastAsia" w:ascii="宋体" w:hAnsi="宋体"/>
          <w:color w:val="000000" w:themeColor="text1"/>
          <w:sz w:val="24"/>
          <w:szCs w:val="24"/>
          <w14:textFill>
            <w14:solidFill>
              <w14:schemeClr w14:val="tx1"/>
            </w14:solidFill>
          </w14:textFill>
        </w:rPr>
        <w:t>、级数</w:t>
      </w:r>
      <m:oMath>
        <m:r>
          <m:rPr/>
          <w:rPr>
            <w:rFonts w:hint="eastAsia" w:ascii="Cambria Math" w:hAnsi="Cambria Math"/>
            <w:color w:val="000000" w:themeColor="text1"/>
            <w:sz w:val="24"/>
            <w:szCs w:val="24"/>
            <w14:textFill>
              <w14:solidFill>
                <w14:schemeClr w14:val="tx1"/>
              </w14:solidFill>
            </w14:textFill>
          </w:rPr>
          <m:t>k</m:t>
        </m:r>
      </m:oMath>
      <w:r>
        <w:rPr>
          <w:rFonts w:hint="eastAsia" w:ascii="宋体" w:hAnsi="宋体"/>
          <w:color w:val="000000" w:themeColor="text1"/>
          <w:sz w:val="24"/>
          <w:szCs w:val="24"/>
          <w14:textFill>
            <w14:solidFill>
              <w14:schemeClr w14:val="tx1"/>
            </w14:solidFill>
          </w14:textFill>
        </w:rPr>
        <w:t>,</w:t>
      </w:r>
      <w:r>
        <w:rPr>
          <w:rFonts w:hint="eastAsia" w:ascii="宋体" w:hAnsi="宋体"/>
          <w:b/>
          <w:bCs/>
          <w:color w:val="000000" w:themeColor="text1"/>
          <w:sz w:val="24"/>
          <w:szCs w:val="24"/>
          <w14:textFill>
            <w14:solidFill>
              <w14:schemeClr w14:val="tx1"/>
            </w14:solidFill>
          </w14:textFill>
        </w:rPr>
        <w:t>精确测定光谱线的衍射角就可以确定光波的波长</w:t>
      </w:r>
      <w:r>
        <w:rPr>
          <w:rFonts w:hint="eastAsia" w:ascii="宋体" w:hAnsi="宋体"/>
          <w:color w:val="000000" w:themeColor="text1"/>
          <w:sz w:val="24"/>
          <w:szCs w:val="24"/>
          <w14:textFill>
            <w14:solidFill>
              <w14:schemeClr w14:val="tx1"/>
            </w14:solidFill>
          </w14:textFill>
        </w:rPr>
        <w:t>；反之，也可以由己知的波长确定光栅常数。</w:t>
      </w:r>
    </w:p>
    <w:p>
      <w:pPr>
        <w:adjustRightInd w:val="0"/>
        <w:snapToGrid w:val="0"/>
        <w:spacing w:before="156" w:beforeLines="50" w:after="156" w:afterLines="50"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（二）光栅特性</w:t>
      </w:r>
    </w:p>
    <w:p>
      <w:pPr>
        <w:adjustRightInd w:val="0"/>
        <w:snapToGrid w:val="0"/>
        <w:spacing w:before="156" w:beforeLines="50" w:after="156" w:afterLines="50" w:line="360" w:lineRule="auto"/>
        <w:ind w:firstLine="482" w:firstLineChars="200"/>
        <w:rPr>
          <w:rFonts w:ascii="宋体" w:hAnsi="宋体"/>
          <w:color w:val="000000" w:themeColor="text1"/>
          <w:sz w:val="24"/>
          <w:szCs w:val="24"/>
          <w14:textFill>
            <w14:solidFill>
              <w14:schemeClr w14:val="tx1"/>
            </w14:solidFill>
          </w14:textFill>
        </w:rPr>
      </w:pPr>
      <w:r>
        <w:rPr>
          <w:rFonts w:hint="eastAsia" w:ascii="宋体" w:hAnsi="宋体"/>
          <w:b/>
          <w:bCs/>
          <w:color w:val="000000" w:themeColor="text1"/>
          <w:sz w:val="24"/>
          <w:szCs w:val="24"/>
          <w14:textFill>
            <w14:solidFill>
              <w14:schemeClr w14:val="tx1"/>
            </w14:solidFill>
          </w14:textFill>
        </w:rPr>
        <w:t>角色散和分辨本领</w:t>
      </w:r>
      <w:r>
        <w:rPr>
          <w:rFonts w:hint="eastAsia" w:ascii="宋体" w:hAnsi="宋体"/>
          <w:color w:val="000000" w:themeColor="text1"/>
          <w:sz w:val="24"/>
          <w:szCs w:val="24"/>
          <w14:textFill>
            <w14:solidFill>
              <w14:schemeClr w14:val="tx1"/>
            </w14:solidFill>
          </w14:textFill>
        </w:rPr>
        <w:t>是光栅的两个重要特性。行射光栅能将复色光按波长在透镜焦平面上分开成不同波长的谱线，说明衍射光栅有色散作用。衍射现象也使光谱线扩展为较宽的亮条纹，因而限制了光栅的分辨能力。根据理论推导，</w:t>
      </w:r>
      <w:r>
        <w:rPr>
          <w:rFonts w:hint="eastAsia" w:ascii="宋体" w:hAnsi="宋体"/>
          <w:b/>
          <w:bCs/>
          <w:color w:val="000000" w:themeColor="text1"/>
          <w:sz w:val="24"/>
          <w:szCs w:val="24"/>
          <w14:textFill>
            <w14:solidFill>
              <w14:schemeClr w14:val="tx1"/>
            </w14:solidFill>
          </w14:textFill>
        </w:rPr>
        <w:t>光栅的色散能力可以用角色散</w:t>
      </w:r>
      <m:oMath>
        <m:r>
          <m:rPr>
            <m:sty m:val="bi"/>
          </m:rPr>
          <w:rPr>
            <w:rFonts w:hint="eastAsia" w:ascii="Cambria Math" w:hAnsi="Cambria Math"/>
            <w:color w:val="000000" w:themeColor="text1"/>
            <w:sz w:val="24"/>
            <w:szCs w:val="24"/>
            <w14:textFill>
              <w14:solidFill>
                <w14:schemeClr w14:val="tx1"/>
              </w14:solidFill>
            </w14:textFill>
          </w:rPr>
          <m:t>D</m:t>
        </m:r>
      </m:oMath>
      <w:r>
        <w:rPr>
          <w:rFonts w:hint="eastAsia" w:ascii="宋体" w:hAnsi="宋体"/>
          <w:b/>
          <w:bCs/>
          <w:color w:val="000000" w:themeColor="text1"/>
          <w:sz w:val="24"/>
          <w:szCs w:val="24"/>
          <w14:textFill>
            <w14:solidFill>
              <w14:schemeClr w14:val="tx1"/>
            </w14:solidFill>
          </w14:textFill>
        </w:rPr>
        <w:t>表征</w:t>
      </w:r>
      <w:r>
        <w:rPr>
          <w:rFonts w:hint="eastAsia" w:ascii="宋体" w:hAnsi="宋体"/>
          <w:color w:val="000000" w:themeColor="text1"/>
          <w:sz w:val="24"/>
          <w:szCs w:val="24"/>
          <w14:textFill>
            <w14:solidFill>
              <w14:schemeClr w14:val="tx1"/>
            </w14:solidFill>
          </w14:textFill>
        </w:rPr>
        <w:t>:</w:t>
      </w:r>
    </w:p>
    <w:p>
      <w:pPr>
        <w:adjustRightInd w:val="0"/>
        <w:snapToGrid w:val="0"/>
        <w:spacing w:before="156" w:beforeLines="50" w:after="156" w:afterLines="50" w:line="360" w:lineRule="auto"/>
        <w:rPr>
          <w:rFonts w:ascii="宋体" w:hAnsi="宋体"/>
          <w:color w:val="000000" w:themeColor="text1"/>
          <w:sz w:val="24"/>
          <w:szCs w:val="24"/>
          <w14:textFill>
            <w14:solidFill>
              <w14:schemeClr w14:val="tx1"/>
            </w14:solidFill>
          </w14:textFill>
        </w:rPr>
      </w:pPr>
      <m:oMathPara>
        <m:oMath>
          <m:r>
            <m:rPr/>
            <w:rPr>
              <w:rFonts w:ascii="Cambria Math" w:hAnsi="Cambria Math"/>
              <w:color w:val="000000" w:themeColor="text1"/>
              <w:sz w:val="24"/>
              <w:szCs w:val="24"/>
              <w14:textFill>
                <w14:solidFill>
                  <w14:schemeClr w14:val="tx1"/>
                </w14:solidFill>
              </w14:textFill>
            </w:rPr>
            <m:t>D=</m:t>
          </m:r>
          <m:f>
            <m:fPr>
              <m:ctrlPr>
                <w:rPr>
                  <w:rFonts w:ascii="Cambria Math" w:hAnsi="Cambria Math"/>
                  <w:i/>
                  <w:color w:val="000000" w:themeColor="text1"/>
                  <w:sz w:val="24"/>
                  <w:szCs w:val="24"/>
                  <w14:textFill>
                    <w14:solidFill>
                      <w14:schemeClr w14:val="tx1"/>
                    </w14:solidFill>
                  </w14:textFill>
                </w:rPr>
              </m:ctrlPr>
            </m:fPr>
            <m:num>
              <m:r>
                <m:rPr/>
                <w:rPr>
                  <w:rFonts w:ascii="Cambria Math" w:hAnsi="Cambria Math"/>
                  <w:color w:val="000000" w:themeColor="text1"/>
                  <w:sz w:val="24"/>
                  <w:szCs w:val="24"/>
                  <w14:textFill>
                    <w14:solidFill>
                      <w14:schemeClr w14:val="tx1"/>
                    </w14:solidFill>
                  </w14:textFill>
                </w:rPr>
                <m:t>ⅆθ</m:t>
              </m:r>
              <m:ctrlPr>
                <w:rPr>
                  <w:rFonts w:ascii="Cambria Math" w:hAnsi="Cambria Math"/>
                  <w:i/>
                  <w:color w:val="000000" w:themeColor="text1"/>
                  <w:sz w:val="24"/>
                  <w:szCs w:val="24"/>
                  <w14:textFill>
                    <w14:solidFill>
                      <w14:schemeClr w14:val="tx1"/>
                    </w14:solidFill>
                  </w14:textFill>
                </w:rPr>
              </m:ctrlPr>
            </m:num>
            <m:den>
              <m:r>
                <m:rPr/>
                <w:rPr>
                  <w:rFonts w:ascii="Cambria Math" w:hAnsi="Cambria Math"/>
                  <w:color w:val="000000" w:themeColor="text1"/>
                  <w:sz w:val="24"/>
                  <w:szCs w:val="24"/>
                  <w14:textFill>
                    <w14:solidFill>
                      <w14:schemeClr w14:val="tx1"/>
                    </w14:solidFill>
                  </w14:textFill>
                </w:rPr>
                <m:t>ⅆλ</m:t>
              </m:r>
              <m:ctrlPr>
                <w:rPr>
                  <w:rFonts w:ascii="Cambria Math" w:hAnsi="Cambria Math"/>
                  <w:i/>
                  <w:color w:val="000000" w:themeColor="text1"/>
                  <w:sz w:val="24"/>
                  <w:szCs w:val="24"/>
                  <w14:textFill>
                    <w14:solidFill>
                      <w14:schemeClr w14:val="tx1"/>
                    </w14:solidFill>
                  </w14:textFill>
                </w:rPr>
              </m:ctrlPr>
            </m:den>
          </m:f>
        </m:oMath>
      </m:oMathPara>
    </w:p>
    <w:p>
      <w:pPr>
        <w:adjustRightInd w:val="0"/>
        <w:snapToGrid w:val="0"/>
        <w:spacing w:before="156" w:beforeLines="50" w:after="156" w:afterLines="50"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上式表示单位波长间隔的</w:t>
      </w:r>
      <w:r>
        <w:rPr>
          <w:rFonts w:hint="eastAsia" w:ascii="宋体" w:hAnsi="宋体"/>
          <w:b/>
          <w:bCs/>
          <w:color w:val="000000" w:themeColor="text1"/>
          <w:sz w:val="24"/>
          <w:szCs w:val="24"/>
          <w14:textFill>
            <w14:solidFill>
              <w14:schemeClr w14:val="tx1"/>
            </w14:solidFill>
          </w14:textFill>
        </w:rPr>
        <w:t>两条单色谱线间的角间距</w:t>
      </w:r>
      <w:r>
        <w:rPr>
          <w:rFonts w:hint="eastAsia" w:ascii="宋体" w:hAnsi="宋体"/>
          <w:color w:val="000000" w:themeColor="text1"/>
          <w:sz w:val="24"/>
          <w:szCs w:val="24"/>
          <w14:textFill>
            <w14:solidFill>
              <w14:schemeClr w14:val="tx1"/>
            </w14:solidFill>
          </w14:textFill>
        </w:rPr>
        <w:t>。将光栅方程微分就可以得到光栅的角色散</w:t>
      </w:r>
    </w:p>
    <w:p>
      <w:pPr>
        <w:adjustRightInd w:val="0"/>
        <w:snapToGrid w:val="0"/>
        <w:spacing w:before="156" w:beforeLines="50" w:after="156" w:afterLines="50" w:line="360" w:lineRule="auto"/>
        <w:rPr>
          <w:rFonts w:ascii="宋体" w:hAnsi="宋体"/>
          <w:color w:val="000000" w:themeColor="text1"/>
          <w:sz w:val="24"/>
          <w:szCs w:val="24"/>
          <w14:textFill>
            <w14:solidFill>
              <w14:schemeClr w14:val="tx1"/>
            </w14:solidFill>
          </w14:textFill>
        </w:rPr>
      </w:pPr>
      <m:oMathPara>
        <m:oMath>
          <m:r>
            <m:rPr/>
            <w:rPr>
              <w:rFonts w:ascii="Cambria Math" w:hAnsi="Cambria Math"/>
              <w:color w:val="000000" w:themeColor="text1"/>
              <w:sz w:val="24"/>
              <w:szCs w:val="24"/>
              <w14:textFill>
                <w14:solidFill>
                  <w14:schemeClr w14:val="tx1"/>
                </w14:solidFill>
              </w14:textFill>
            </w:rPr>
            <m:t>D=</m:t>
          </m:r>
          <m:f>
            <m:fPr>
              <m:ctrlPr>
                <w:rPr>
                  <w:rFonts w:ascii="Cambria Math" w:hAnsi="Cambria Math"/>
                  <w:i/>
                  <w:color w:val="000000" w:themeColor="text1"/>
                  <w:sz w:val="24"/>
                  <w:szCs w:val="24"/>
                  <w14:textFill>
                    <w14:solidFill>
                      <w14:schemeClr w14:val="tx1"/>
                    </w14:solidFill>
                  </w14:textFill>
                </w:rPr>
              </m:ctrlPr>
            </m:fPr>
            <m:num>
              <m:r>
                <m:rPr/>
                <w:rPr>
                  <w:rFonts w:hint="eastAsia" w:ascii="Cambria Math" w:hAnsi="Cambria Math"/>
                  <w:color w:val="000000" w:themeColor="text1"/>
                  <w:sz w:val="24"/>
                  <w:szCs w:val="24"/>
                  <w14:textFill>
                    <w14:solidFill>
                      <w14:schemeClr w14:val="tx1"/>
                    </w14:solidFill>
                  </w14:textFill>
                </w:rPr>
                <m:t>k</m:t>
              </m:r>
              <m:ctrlPr>
                <w:rPr>
                  <w:rFonts w:ascii="Cambria Math" w:hAnsi="Cambria Math"/>
                  <w:i/>
                  <w:color w:val="000000" w:themeColor="text1"/>
                  <w:sz w:val="24"/>
                  <w:szCs w:val="24"/>
                  <w14:textFill>
                    <w14:solidFill>
                      <w14:schemeClr w14:val="tx1"/>
                    </w14:solidFill>
                  </w14:textFill>
                </w:rPr>
              </m:ctrlPr>
            </m:num>
            <m:den>
              <m:r>
                <m:rPr/>
                <w:rPr>
                  <w:rFonts w:ascii="Cambria Math" w:hAnsi="Cambria Math"/>
                  <w:color w:val="000000" w:themeColor="text1"/>
                  <w:sz w:val="24"/>
                  <w:szCs w:val="24"/>
                  <w14:textFill>
                    <w14:solidFill>
                      <w14:schemeClr w14:val="tx1"/>
                    </w14:solidFill>
                  </w14:textFill>
                </w:rPr>
                <m:t>ⅆ</m:t>
              </m:r>
              <m:r>
                <m:rPr/>
                <w:rPr>
                  <w:rFonts w:hint="eastAsia" w:ascii="Cambria Math" w:hAnsi="Cambria Math"/>
                  <w:color w:val="000000" w:themeColor="text1"/>
                  <w:sz w:val="24"/>
                  <w:szCs w:val="24"/>
                  <w14:textFill>
                    <w14:solidFill>
                      <w14:schemeClr w14:val="tx1"/>
                    </w14:solidFill>
                  </w14:textFill>
                </w:rPr>
                <m:t>cos</m:t>
              </m:r>
              <m:r>
                <m:rPr/>
                <w:rPr>
                  <w:rFonts w:ascii="Cambria Math" w:hAnsi="Cambria Math"/>
                  <w:color w:val="000000" w:themeColor="text1"/>
                  <w:sz w:val="24"/>
                  <w:szCs w:val="24"/>
                  <w14:textFill>
                    <w14:solidFill>
                      <w14:schemeClr w14:val="tx1"/>
                    </w14:solidFill>
                  </w14:textFill>
                </w:rPr>
                <m:t>θ</m:t>
              </m:r>
              <m:ctrlPr>
                <w:rPr>
                  <w:rFonts w:ascii="Cambria Math" w:hAnsi="Cambria Math"/>
                  <w:i/>
                  <w:color w:val="000000" w:themeColor="text1"/>
                  <w:sz w:val="24"/>
                  <w:szCs w:val="24"/>
                  <w14:textFill>
                    <w14:solidFill>
                      <w14:schemeClr w14:val="tx1"/>
                    </w14:solidFill>
                  </w14:textFill>
                </w:rPr>
              </m:ctrlPr>
            </m:den>
          </m:f>
        </m:oMath>
      </m:oMathPara>
    </w:p>
    <w:p>
      <w:pPr>
        <w:adjustRightInd w:val="0"/>
        <w:snapToGrid w:val="0"/>
        <w:spacing w:before="156" w:beforeLines="50" w:after="156" w:afterLines="50"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由上式可知，</w:t>
      </w:r>
      <w:r>
        <w:rPr>
          <w:rFonts w:hint="eastAsia" w:ascii="宋体" w:hAnsi="宋体"/>
          <w:b/>
          <w:bCs/>
          <w:color w:val="000000" w:themeColor="text1"/>
          <w:sz w:val="24"/>
          <w:szCs w:val="24"/>
          <w14:textFill>
            <w14:solidFill>
              <w14:schemeClr w14:val="tx1"/>
            </w14:solidFill>
          </w14:textFill>
        </w:rPr>
        <w:t>光栅常数越小，角色散越大</w:t>
      </w:r>
      <w:r>
        <w:rPr>
          <w:rFonts w:hint="eastAsia" w:ascii="宋体" w:hAnsi="宋体"/>
          <w:color w:val="000000" w:themeColor="text1"/>
          <w:sz w:val="24"/>
          <w:szCs w:val="24"/>
          <w14:textFill>
            <w14:solidFill>
              <w14:schemeClr w14:val="tx1"/>
            </w14:solidFill>
          </w14:textFill>
        </w:rPr>
        <w:t>；</w:t>
      </w:r>
      <w:r>
        <w:rPr>
          <w:rFonts w:hint="eastAsia" w:ascii="宋体" w:hAnsi="宋体"/>
          <w:b/>
          <w:bCs/>
          <w:color w:val="000000" w:themeColor="text1"/>
          <w:sz w:val="24"/>
          <w:szCs w:val="24"/>
          <w14:textFill>
            <w14:solidFill>
              <w14:schemeClr w14:val="tx1"/>
            </w14:solidFill>
          </w14:textFill>
        </w:rPr>
        <w:t>光谱的级次越高，角色散越大</w:t>
      </w:r>
      <w:r>
        <w:rPr>
          <w:rFonts w:hint="eastAsia" w:ascii="宋体" w:hAnsi="宋体"/>
          <w:color w:val="000000" w:themeColor="text1"/>
          <w:sz w:val="24"/>
          <w:szCs w:val="24"/>
          <w14:textFill>
            <w14:solidFill>
              <w14:schemeClr w14:val="tx1"/>
            </w14:solidFill>
          </w14:textFill>
        </w:rPr>
        <w:t>。</w:t>
      </w:r>
    </w:p>
    <w:p>
      <w:pPr>
        <w:adjustRightInd w:val="0"/>
        <w:snapToGrid w:val="0"/>
        <w:spacing w:before="156" w:beforeLines="50" w:after="156" w:afterLines="50" w:line="360" w:lineRule="auto"/>
        <w:ind w:firstLine="480" w:firstLineChars="20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分辨本领</w:t>
      </w:r>
      <m:oMath>
        <m:r>
          <m:rPr/>
          <w:rPr>
            <w:rFonts w:hint="eastAsia" w:ascii="Cambria Math" w:hAnsi="Cambria Math"/>
            <w:color w:val="000000" w:themeColor="text1"/>
            <w:sz w:val="24"/>
            <w:szCs w:val="24"/>
            <w14:textFill>
              <w14:solidFill>
                <w14:schemeClr w14:val="tx1"/>
              </w14:solidFill>
            </w14:textFill>
          </w:rPr>
          <m:t>R</m:t>
        </m:r>
      </m:oMath>
      <w:r>
        <w:rPr>
          <w:rFonts w:hint="eastAsia" w:ascii="宋体" w:hAnsi="宋体"/>
          <w:color w:val="000000" w:themeColor="text1"/>
          <w:sz w:val="24"/>
          <w:szCs w:val="24"/>
          <w14:textFill>
            <w14:solidFill>
              <w14:schemeClr w14:val="tx1"/>
            </w14:solidFill>
          </w14:textFill>
        </w:rPr>
        <w:t>表征光栅分辨光谱细节的能力。如果光栅刚刚能将</w:t>
      </w:r>
      <m:oMath>
        <m:r>
          <m:rPr/>
          <w:rPr>
            <w:rFonts w:hint="eastAsia" w:ascii="Cambria Math" w:hAnsi="Cambria Math"/>
            <w:color w:val="000000" w:themeColor="text1"/>
            <w:sz w:val="24"/>
            <w:szCs w:val="24"/>
            <w14:textFill>
              <w14:solidFill>
                <w14:schemeClr w14:val="tx1"/>
              </w14:solidFill>
            </w14:textFill>
          </w:rPr>
          <m:t>λ</m:t>
        </m:r>
      </m:oMath>
      <w:r>
        <w:rPr>
          <w:rFonts w:hint="eastAsia" w:ascii="宋体" w:hAnsi="宋体"/>
          <w:color w:val="000000" w:themeColor="text1"/>
          <w:sz w:val="24"/>
          <w:szCs w:val="24"/>
          <w14:textFill>
            <w14:solidFill>
              <w14:schemeClr w14:val="tx1"/>
            </w14:solidFill>
          </w14:textFill>
        </w:rPr>
        <w:t>和</w:t>
      </w:r>
      <m:oMath>
        <m:r>
          <m:rPr/>
          <w:rPr>
            <w:rFonts w:hint="eastAsia" w:ascii="Cambria Math" w:hAnsi="Cambria Math"/>
            <w:color w:val="000000" w:themeColor="text1"/>
            <w:sz w:val="24"/>
            <w:szCs w:val="24"/>
            <w14:textFill>
              <w14:solidFill>
                <w14:schemeClr w14:val="tx1"/>
              </w14:solidFill>
            </w14:textFill>
          </w:rPr>
          <m:t>λ +dλ</m:t>
        </m:r>
      </m:oMath>
      <w:r>
        <w:rPr>
          <w:rFonts w:hint="eastAsia" w:ascii="宋体" w:hAnsi="宋体"/>
          <w:color w:val="000000" w:themeColor="text1"/>
          <w:sz w:val="24"/>
          <w:szCs w:val="24"/>
          <w14:textFill>
            <w14:solidFill>
              <w14:schemeClr w14:val="tx1"/>
            </w14:solidFill>
          </w14:textFill>
        </w:rPr>
        <w:t>两条谱线分开，则</w:t>
      </w:r>
    </w:p>
    <w:p>
      <w:pPr>
        <w:adjustRightInd w:val="0"/>
        <w:snapToGrid w:val="0"/>
        <w:spacing w:before="156" w:beforeLines="50" w:after="156" w:afterLines="50" w:line="360" w:lineRule="auto"/>
        <w:rPr>
          <w:rFonts w:ascii="宋体" w:hAnsi="宋体"/>
          <w:color w:val="000000" w:themeColor="text1"/>
          <w:sz w:val="24"/>
          <w:szCs w:val="24"/>
          <w14:textFill>
            <w14:solidFill>
              <w14:schemeClr w14:val="tx1"/>
            </w14:solidFill>
          </w14:textFill>
        </w:rPr>
      </w:pPr>
      <m:oMathPara>
        <m:oMath>
          <m:r>
            <m:rPr/>
            <w:rPr>
              <w:rFonts w:ascii="Cambria Math" w:hAnsi="Cambria Math"/>
              <w:color w:val="000000" w:themeColor="text1"/>
              <w:sz w:val="24"/>
              <w:szCs w:val="24"/>
              <w14:textFill>
                <w14:solidFill>
                  <w14:schemeClr w14:val="tx1"/>
                </w14:solidFill>
              </w14:textFill>
            </w:rPr>
            <m:t>R=</m:t>
          </m:r>
          <m:f>
            <m:fPr>
              <m:ctrlPr>
                <w:rPr>
                  <w:rFonts w:ascii="Cambria Math" w:hAnsi="Cambria Math"/>
                  <w:i/>
                  <w:color w:val="000000" w:themeColor="text1"/>
                  <w:sz w:val="24"/>
                  <w:szCs w:val="24"/>
                  <w14:textFill>
                    <w14:solidFill>
                      <w14:schemeClr w14:val="tx1"/>
                    </w14:solidFill>
                  </w14:textFill>
                </w:rPr>
              </m:ctrlPr>
            </m:fPr>
            <m:num>
              <m:r>
                <m:rPr/>
                <w:rPr>
                  <w:rFonts w:hint="eastAsia" w:ascii="Cambria Math" w:hAnsi="Cambria Math"/>
                  <w:color w:val="000000" w:themeColor="text1"/>
                  <w:sz w:val="24"/>
                  <w:szCs w:val="24"/>
                  <w14:textFill>
                    <w14:solidFill>
                      <w14:schemeClr w14:val="tx1"/>
                    </w14:solidFill>
                  </w14:textFill>
                </w:rPr>
                <m:t>λ</m:t>
              </m:r>
              <m:ctrlPr>
                <w:rPr>
                  <w:rFonts w:ascii="Cambria Math" w:hAnsi="Cambria Math"/>
                  <w:i/>
                  <w:color w:val="000000" w:themeColor="text1"/>
                  <w:sz w:val="24"/>
                  <w:szCs w:val="24"/>
                  <w14:textFill>
                    <w14:solidFill>
                      <w14:schemeClr w14:val="tx1"/>
                    </w14:solidFill>
                  </w14:textFill>
                </w:rPr>
              </m:ctrlPr>
            </m:num>
            <m:den>
              <m:r>
                <m:rPr/>
                <w:rPr>
                  <w:rFonts w:ascii="Cambria Math" w:hAnsi="Cambria Math"/>
                  <w:color w:val="000000" w:themeColor="text1"/>
                  <w:sz w:val="24"/>
                  <w:szCs w:val="24"/>
                  <w14:textFill>
                    <w14:solidFill>
                      <w14:schemeClr w14:val="tx1"/>
                    </w14:solidFill>
                  </w14:textFill>
                </w:rPr>
                <m:t>ⅆλ</m:t>
              </m:r>
              <m:ctrlPr>
                <w:rPr>
                  <w:rFonts w:ascii="Cambria Math" w:hAnsi="Cambria Math"/>
                  <w:i/>
                  <w:color w:val="000000" w:themeColor="text1"/>
                  <w:sz w:val="24"/>
                  <w:szCs w:val="24"/>
                  <w14:textFill>
                    <w14:solidFill>
                      <w14:schemeClr w14:val="tx1"/>
                    </w14:solidFill>
                  </w14:textFill>
                </w:rPr>
              </m:ctrlPr>
            </m:den>
          </m:f>
        </m:oMath>
      </m:oMathPara>
    </w:p>
    <w:p>
      <w:pPr>
        <w:adjustRightInd w:val="0"/>
        <w:snapToGrid w:val="0"/>
        <w:spacing w:before="156" w:beforeLines="50" w:after="156" w:afterLines="50" w:line="360" w:lineRule="auto"/>
        <w:ind w:firstLine="480" w:firstLineChars="20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根据瑞利判断，当一条谱线的光强极大和另一条谱线的光强极小重合时，两条谱线刚好可以被分辨。由此可以推出</w:t>
      </w:r>
    </w:p>
    <w:p>
      <w:pPr>
        <w:adjustRightInd w:val="0"/>
        <w:snapToGrid w:val="0"/>
        <w:spacing w:before="156" w:beforeLines="50" w:after="156" w:afterLines="50" w:line="360" w:lineRule="auto"/>
        <w:rPr>
          <w:rFonts w:ascii="宋体" w:hAnsi="宋体"/>
          <w:color w:val="000000" w:themeColor="text1"/>
          <w:sz w:val="24"/>
          <w:szCs w:val="24"/>
          <w14:textFill>
            <w14:solidFill>
              <w14:schemeClr w14:val="tx1"/>
            </w14:solidFill>
          </w14:textFill>
        </w:rPr>
      </w:pPr>
      <m:oMathPara>
        <m:oMath>
          <m:r>
            <m:rPr/>
            <w:rPr>
              <w:rFonts w:ascii="Cambria Math" w:hAnsi="Cambria Math"/>
              <w:color w:val="000000" w:themeColor="text1"/>
              <w:sz w:val="24"/>
              <w:szCs w:val="24"/>
              <w14:textFill>
                <w14:solidFill>
                  <w14:schemeClr w14:val="tx1"/>
                </w14:solidFill>
              </w14:textFill>
            </w:rPr>
            <m:t>R=</m:t>
          </m:r>
          <m:r>
            <m:rPr/>
            <w:rPr>
              <w:rFonts w:hint="eastAsia" w:ascii="Cambria Math" w:hAnsi="Cambria Math"/>
              <w:color w:val="000000" w:themeColor="text1"/>
              <w:sz w:val="24"/>
              <w:szCs w:val="24"/>
              <w14:textFill>
                <w14:solidFill>
                  <w14:schemeClr w14:val="tx1"/>
                </w14:solidFill>
              </w14:textFill>
            </w:rPr>
            <m:t>k</m:t>
          </m:r>
          <m:r>
            <m:rPr/>
            <w:rPr>
              <w:rFonts w:ascii="Cambria Math" w:hAnsi="Cambria Math"/>
              <w:color w:val="000000" w:themeColor="text1"/>
              <w:sz w:val="24"/>
              <w:szCs w:val="24"/>
              <w14:textFill>
                <w14:solidFill>
                  <w14:schemeClr w14:val="tx1"/>
                </w14:solidFill>
              </w14:textFill>
            </w:rPr>
            <m:t>N</m:t>
          </m:r>
        </m:oMath>
      </m:oMathPara>
    </w:p>
    <w:p>
      <w:pPr>
        <w:adjustRightInd w:val="0"/>
        <w:snapToGrid w:val="0"/>
        <w:spacing w:before="156" w:beforeLines="50" w:after="156" w:afterLines="50"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式中，</w:t>
      </w:r>
      <m:oMath>
        <m:r>
          <m:rPr/>
          <w:rPr>
            <w:rFonts w:hint="eastAsia" w:ascii="Cambria Math" w:hAnsi="Cambria Math"/>
            <w:color w:val="000000" w:themeColor="text1"/>
            <w:sz w:val="24"/>
            <w:szCs w:val="24"/>
            <w14:textFill>
              <w14:solidFill>
                <w14:schemeClr w14:val="tx1"/>
              </w14:solidFill>
            </w14:textFill>
          </w:rPr>
          <m:t>N</m:t>
        </m:r>
      </m:oMath>
      <w:r>
        <w:rPr>
          <w:rFonts w:hint="eastAsia" w:ascii="宋体" w:hAnsi="宋体"/>
          <w:color w:val="000000" w:themeColor="text1"/>
          <w:sz w:val="24"/>
          <w:szCs w:val="24"/>
          <w14:textFill>
            <w14:solidFill>
              <w14:schemeClr w14:val="tx1"/>
            </w14:solidFill>
          </w14:textFill>
        </w:rPr>
        <w:t>为光栅的总狭缝数，</w:t>
      </w:r>
      <m:oMath>
        <m:r>
          <m:rPr/>
          <w:rPr>
            <w:rFonts w:hint="eastAsia" w:ascii="Cambria Math" w:hAnsi="Cambria Math"/>
            <w:color w:val="000000" w:themeColor="text1"/>
            <w:sz w:val="24"/>
            <w:szCs w:val="24"/>
            <w14:textFill>
              <w14:solidFill>
                <w14:schemeClr w14:val="tx1"/>
              </w14:solidFill>
            </w14:textFill>
          </w:rPr>
          <m:t>k</m:t>
        </m:r>
      </m:oMath>
      <w:r>
        <w:rPr>
          <w:rFonts w:hint="eastAsia" w:ascii="宋体" w:hAnsi="宋体"/>
          <w:color w:val="000000" w:themeColor="text1"/>
          <w:sz w:val="24"/>
          <w:szCs w:val="24"/>
          <w14:textFill>
            <w14:solidFill>
              <w14:schemeClr w14:val="tx1"/>
            </w14:solidFill>
          </w14:textFill>
        </w:rPr>
        <w:t>为光谱的级数。</w:t>
      </w:r>
      <m:oMath>
        <m:r>
          <m:rPr/>
          <w:rPr>
            <w:rFonts w:hint="eastAsia" w:ascii="Cambria Math" w:hAnsi="Cambria Math"/>
            <w:color w:val="000000" w:themeColor="text1"/>
            <w:sz w:val="24"/>
            <w:szCs w:val="24"/>
            <w14:textFill>
              <w14:solidFill>
                <w14:schemeClr w14:val="tx1"/>
              </w14:solidFill>
            </w14:textFill>
          </w:rPr>
          <m:t>N</m:t>
        </m:r>
      </m:oMath>
      <w:r>
        <w:rPr>
          <w:rFonts w:hint="eastAsia" w:ascii="宋体" w:hAnsi="宋体"/>
          <w:color w:val="000000" w:themeColor="text1"/>
          <w:sz w:val="24"/>
          <w:szCs w:val="24"/>
          <w14:textFill>
            <w14:solidFill>
              <w14:schemeClr w14:val="tx1"/>
            </w14:solidFill>
          </w14:textFill>
        </w:rPr>
        <w:t>的数目很大，光栅具有高分本领。</w:t>
      </w:r>
    </w:p>
    <w:p>
      <w:pPr>
        <w:adjustRightInd w:val="0"/>
        <w:snapToGrid w:val="0"/>
        <w:spacing w:before="156" w:beforeLines="50" w:after="156" w:afterLines="50" w:line="360" w:lineRule="auto"/>
        <w:rPr>
          <w:rFonts w:ascii="宋体" w:hAnsi="宋体"/>
          <w:color w:val="000000" w:themeColor="text1"/>
          <w:sz w:val="24"/>
          <w:szCs w:val="24"/>
          <w14:textFill>
            <w14:solidFill>
              <w14:schemeClr w14:val="tx1"/>
            </w14:solidFill>
          </w14:textFill>
        </w:rPr>
      </w:pPr>
    </w:p>
    <w:p>
      <w:pPr>
        <w:adjustRightInd w:val="0"/>
        <w:snapToGrid w:val="0"/>
        <w:spacing w:before="156" w:beforeLines="50" w:after="156" w:afterLines="50"/>
        <w:rPr>
          <w:rFonts w:ascii="宋体" w:hAnsi="宋体"/>
          <w:color w:val="0000CC"/>
          <w:sz w:val="24"/>
          <w:szCs w:val="24"/>
        </w:rPr>
      </w:pPr>
      <w:r>
        <w:rPr>
          <w:rFonts w:hint="eastAsia" w:ascii="黑体" w:hAnsi="黑体" w:eastAsia="黑体"/>
          <w:b/>
          <w:sz w:val="28"/>
          <w:szCs w:val="28"/>
        </w:rPr>
        <w:t>四、实验步骤</w:t>
      </w:r>
    </w:p>
    <w:p>
      <w:pPr>
        <w:adjustRightInd w:val="0"/>
        <w:snapToGrid w:val="0"/>
        <w:spacing w:before="156" w:beforeLines="50" w:after="156" w:afterLines="50"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（一）预操作</w:t>
      </w:r>
    </w:p>
    <w:p>
      <w:pPr>
        <w:adjustRightInd w:val="0"/>
        <w:snapToGrid w:val="0"/>
        <w:spacing w:before="156" w:beforeLines="50" w:after="156" w:afterLines="50"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1. 调整分光计</w:t>
      </w:r>
    </w:p>
    <w:p>
      <w:pPr>
        <w:adjustRightInd w:val="0"/>
        <w:snapToGrid w:val="0"/>
        <w:spacing w:before="156" w:beforeLines="50" w:after="156" w:afterLines="50"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1</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分光计的调整：</w:t>
      </w:r>
    </w:p>
    <w:p>
      <w:pPr>
        <w:adjustRightInd w:val="0"/>
        <w:snapToGrid w:val="0"/>
        <w:spacing w:before="156" w:beforeLines="50" w:after="156" w:afterLines="50"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ab/>
      </w:r>
      <w:r>
        <w:rPr>
          <w:rFonts w:hint="eastAsia" w:ascii="宋体" w:hAnsi="宋体"/>
          <w:color w:val="000000" w:themeColor="text1"/>
          <w:sz w:val="24"/>
          <w:szCs w:val="24"/>
          <w14:textFill>
            <w14:solidFill>
              <w14:schemeClr w14:val="tx1"/>
            </w14:solidFill>
          </w14:textFill>
        </w:rPr>
        <w:t>调节平行光管产生平行光，望远镜调焦至无穷远，平行光管光轴、望远镜光轴垂直于仪器转轴，并且平行光管光轴与望远镜光轴在同一水平线上；</w:t>
      </w:r>
    </w:p>
    <w:p>
      <w:pPr>
        <w:adjustRightInd w:val="0"/>
        <w:snapToGrid w:val="0"/>
        <w:spacing w:before="156" w:beforeLines="50" w:after="156" w:afterLines="50"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color w:val="000000" w:themeColor="text1"/>
          <w:sz w:val="24"/>
          <w:szCs w:val="24"/>
          <w:lang w:val="en-US" w:eastAsia="zh-CN"/>
          <w14:textFill>
            <w14:solidFill>
              <w14:schemeClr w14:val="tx1"/>
            </w14:solidFill>
          </w14:textFill>
        </w:rPr>
        <w:t>2</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平面光栅的调整</w:t>
      </w:r>
    </w:p>
    <w:p>
      <w:pPr>
        <w:adjustRightInd w:val="0"/>
        <w:snapToGrid w:val="0"/>
        <w:spacing w:before="156" w:beforeLines="50" w:after="156" w:afterLines="50"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ab/>
      </w:r>
      <w:r>
        <w:rPr>
          <w:rFonts w:hint="eastAsia" w:ascii="宋体" w:hAnsi="宋体"/>
          <w:color w:val="000000" w:themeColor="text1"/>
          <w:sz w:val="24"/>
          <w:szCs w:val="24"/>
          <w14:textFill>
            <w14:solidFill>
              <w14:schemeClr w14:val="tx1"/>
            </w14:solidFill>
          </w14:textFill>
        </w:rPr>
        <w:t>调节光栅平面与平行光管光轴垂直：使平行光管正对光源，调节平行光管产生平行光，调节狭缝宽度至</w:t>
      </w:r>
      <m:oMath>
        <m:r>
          <m:rPr/>
          <w:rPr>
            <w:rFonts w:hint="eastAsia" w:ascii="Cambria Math" w:hAnsi="Cambria Math"/>
            <w:color w:val="000000" w:themeColor="text1"/>
            <w:sz w:val="24"/>
            <w:szCs w:val="24"/>
            <w14:textFill>
              <w14:solidFill>
                <w14:schemeClr w14:val="tx1"/>
              </w14:solidFill>
            </w14:textFill>
          </w:rPr>
          <m:t>1</m:t>
        </m:r>
        <m:r>
          <m:rPr/>
          <w:rPr>
            <w:rFonts w:ascii="Cambria Math" w:hAnsi="Cambria Math"/>
            <w:color w:val="000000" w:themeColor="text1"/>
            <w:sz w:val="24"/>
            <w:szCs w:val="24"/>
            <w14:textFill>
              <w14:solidFill>
                <w14:schemeClr w14:val="tx1"/>
              </w14:solidFill>
            </w14:textFill>
          </w:rPr>
          <m:t>~</m:t>
        </m:r>
        <m:r>
          <m:rPr/>
          <w:rPr>
            <w:rFonts w:hint="eastAsia" w:ascii="Cambria Math" w:hAnsi="Cambria Math"/>
            <w:color w:val="000000" w:themeColor="text1"/>
            <w:sz w:val="24"/>
            <w:szCs w:val="24"/>
            <w14:textFill>
              <w14:solidFill>
                <w14:schemeClr w14:val="tx1"/>
              </w14:solidFill>
            </w14:textFill>
          </w:rPr>
          <m:t>2 mm</m:t>
        </m:r>
      </m:oMath>
      <w:r>
        <w:rPr>
          <w:rFonts w:hint="eastAsia" w:ascii="宋体" w:hAnsi="宋体"/>
          <w:color w:val="000000" w:themeColor="text1"/>
          <w:sz w:val="24"/>
          <w:szCs w:val="24"/>
          <w14:textFill>
            <w14:solidFill>
              <w14:schemeClr w14:val="tx1"/>
            </w14:solidFill>
          </w14:textFill>
        </w:rPr>
        <w:t>,转动望远镜使分划板的叉丝对准狭缝中央，固定望远镜。将光栅置于载物台上，根据目测尽能使光栅平面垂直平分</w:t>
      </w:r>
      <m:oMath>
        <m:r>
          <m:rPr/>
          <w:rPr>
            <w:rFonts w:hint="eastAsia" w:ascii="Cambria Math" w:hAnsi="Cambria Math"/>
            <w:color w:val="000000" w:themeColor="text1"/>
            <w:sz w:val="24"/>
            <w:szCs w:val="24"/>
            <w14:textFill>
              <w14:solidFill>
                <w14:schemeClr w14:val="tx1"/>
              </w14:solidFill>
            </w14:textFill>
          </w:rPr>
          <m:t>b</m:t>
        </m:r>
      </m:oMath>
      <w:r>
        <w:rPr>
          <w:rFonts w:hint="eastAsia" w:ascii="宋体" w:hAnsi="宋体"/>
          <w:color w:val="000000" w:themeColor="text1"/>
          <w:sz w:val="24"/>
          <w:szCs w:val="24"/>
          <w14:textFill>
            <w14:solidFill>
              <w14:schemeClr w14:val="tx1"/>
            </w14:solidFill>
          </w14:textFill>
        </w:rPr>
        <w:t>、</w:t>
      </w:r>
      <m:oMath>
        <m:r>
          <m:rPr/>
          <w:rPr>
            <w:rFonts w:hint="eastAsia" w:ascii="Cambria Math" w:hAnsi="Cambria Math"/>
            <w:color w:val="000000" w:themeColor="text1"/>
            <w:sz w:val="24"/>
            <w:szCs w:val="24"/>
            <w14:textFill>
              <w14:solidFill>
                <w14:schemeClr w14:val="tx1"/>
              </w14:solidFill>
            </w14:textFill>
          </w:rPr>
          <m:t>c</m:t>
        </m:r>
      </m:oMath>
      <w:r>
        <w:rPr>
          <w:rFonts w:hint="eastAsia" w:ascii="宋体" w:hAnsi="宋体"/>
          <w:color w:val="000000" w:themeColor="text1"/>
          <w:sz w:val="24"/>
          <w:szCs w:val="24"/>
          <w14:textFill>
            <w14:solidFill>
              <w14:schemeClr w14:val="tx1"/>
            </w14:solidFill>
          </w14:textFill>
        </w:rPr>
        <w:t>连线，而</w:t>
      </w:r>
      <m:oMath>
        <m:r>
          <m:rPr/>
          <w:rPr>
            <w:rFonts w:hint="eastAsia" w:ascii="Cambria Math" w:hAnsi="Cambria Math"/>
            <w:color w:val="000000" w:themeColor="text1"/>
            <w:sz w:val="24"/>
            <w:szCs w:val="24"/>
            <w14:textFill>
              <w14:solidFill>
                <w14:schemeClr w14:val="tx1"/>
              </w14:solidFill>
            </w14:textFill>
          </w:rPr>
          <m:t>a</m:t>
        </m:r>
      </m:oMath>
      <w:r>
        <w:rPr>
          <w:rFonts w:hint="eastAsia" w:ascii="宋体" w:hAnsi="宋体"/>
          <w:color w:val="000000" w:themeColor="text1"/>
          <w:sz w:val="24"/>
          <w:szCs w:val="24"/>
          <w14:textFill>
            <w14:solidFill>
              <w14:schemeClr w14:val="tx1"/>
            </w14:solidFill>
          </w14:textFill>
        </w:rPr>
        <w:t>应在光栅平面内。转动游标盘使光栅大致垂直于望远镜光轴。用自准直法严格地调节载物台下的调平螺钉，直至望远镜射出的经光栅平面反射回来的绿“ 十”字在所示位置，随即固定游标盘。此时光栅平面与平行光管的光轴垂直，且与仪器转轴平行；</w:t>
      </w:r>
    </w:p>
    <w:p>
      <w:pPr>
        <w:adjustRightInd w:val="0"/>
        <w:snapToGrid w:val="0"/>
        <w:spacing w:before="156" w:beforeLines="50" w:after="156" w:afterLines="50"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ab/>
      </w:r>
      <w:r>
        <w:rPr>
          <w:rFonts w:hint="eastAsia" w:ascii="宋体" w:hAnsi="宋体"/>
          <w:color w:val="000000" w:themeColor="text1"/>
          <w:sz w:val="24"/>
          <w:szCs w:val="24"/>
          <w14:textFill>
            <w14:solidFill>
              <w14:schemeClr w14:val="tx1"/>
            </w14:solidFill>
          </w14:textFill>
        </w:rPr>
        <w:t>调节零级两边谱线等高。松开望远镜的止动螺钉，转动望远镜观察正、负一级光谱线，注意观察叉丝交点是否在各条谱线的中央。如果不在中央，应调节载物台下螺钉使正、负一级谱线的中央都过叉丝交点。此时两边谱线等高；</w:t>
      </w:r>
    </w:p>
    <w:p>
      <w:pPr>
        <w:adjustRightInd w:val="0"/>
        <w:snapToGrid w:val="0"/>
        <w:spacing w:before="156" w:beforeLines="50" w:after="156" w:afterLines="50" w:line="360" w:lineRule="auto"/>
        <w:rPr>
          <w:rFonts w:ascii="宋体" w:hAnsi="宋体"/>
          <w:color w:val="000000" w:themeColor="text1"/>
          <w:sz w:val="24"/>
          <w:szCs w:val="24"/>
          <w14:textFill>
            <w14:solidFill>
              <w14:schemeClr w14:val="tx1"/>
            </w14:solidFill>
          </w14:textFill>
        </w:rPr>
      </w:pPr>
    </w:p>
    <w:p>
      <w:pPr>
        <w:adjustRightInd w:val="0"/>
        <w:snapToGrid w:val="0"/>
        <w:spacing w:before="156" w:beforeLines="50" w:after="156" w:afterLines="50"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（二）用平面衍射光栅测量低压汞灯谱线波长</w:t>
      </w:r>
    </w:p>
    <w:p>
      <w:pPr>
        <w:adjustRightInd w:val="0"/>
        <w:snapToGrid w:val="0"/>
        <w:spacing w:before="156" w:beforeLines="50" w:after="156" w:afterLines="50"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ab/>
      </w:r>
      <w:r>
        <w:rPr>
          <w:rFonts w:hint="eastAsia" w:ascii="宋体" w:hAnsi="宋体"/>
          <w:color w:val="000000" w:themeColor="text1"/>
          <w:sz w:val="24"/>
          <w:szCs w:val="24"/>
          <w14:textFill>
            <w14:solidFill>
              <w14:schemeClr w14:val="tx1"/>
            </w14:solidFill>
          </w14:textFill>
        </w:rPr>
        <w:t>分光计按要求调节好之后必须</w:t>
      </w:r>
      <w:r>
        <w:rPr>
          <w:rFonts w:hint="eastAsia" w:ascii="宋体" w:hAnsi="宋体"/>
          <w:b/>
          <w:bCs/>
          <w:color w:val="000000" w:themeColor="text1"/>
          <w:sz w:val="24"/>
          <w:szCs w:val="24"/>
          <w14:textFill>
            <w14:solidFill>
              <w14:schemeClr w14:val="tx1"/>
            </w14:solidFill>
          </w14:textFill>
        </w:rPr>
        <w:t>固定载物台和游标盘</w:t>
      </w:r>
      <w:r>
        <w:rPr>
          <w:rFonts w:hint="eastAsia" w:ascii="宋体" w:hAnsi="宋体"/>
          <w:color w:val="000000" w:themeColor="text1"/>
          <w:sz w:val="24"/>
          <w:szCs w:val="24"/>
          <w14:textFill>
            <w14:solidFill>
              <w14:schemeClr w14:val="tx1"/>
            </w14:solidFill>
          </w14:textFill>
        </w:rPr>
        <w:t>，让望远镜只能绕主轴转动。先左、右转动望远镜全面观察光栅的衍射光谱，再开始测量各条谱线位置。测量时，可以从中央亮纹开始分别向左、右两边测量，也可以从左（右）边到右（左）边，单方向转动望远镜测量。将数据记录于表</w:t>
      </w:r>
      <w:r>
        <w:rPr>
          <w:rFonts w:ascii="宋体" w:hAnsi="宋体"/>
          <w:color w:val="000000" w:themeColor="text1"/>
          <w:sz w:val="24"/>
          <w:szCs w:val="24"/>
          <w14:textFill>
            <w14:solidFill>
              <w14:schemeClr w14:val="tx1"/>
            </w14:solidFill>
          </w14:textFill>
        </w:rPr>
        <w:t>1</w:t>
      </w:r>
      <w:r>
        <w:rPr>
          <w:rFonts w:hint="eastAsia" w:ascii="宋体" w:hAnsi="宋体"/>
          <w:color w:val="000000" w:themeColor="text1"/>
          <w:sz w:val="24"/>
          <w:szCs w:val="24"/>
          <w14:textFill>
            <w14:solidFill>
              <w14:schemeClr w14:val="tx1"/>
            </w14:solidFill>
          </w14:textFill>
        </w:rPr>
        <w:t>中。测量完毕后，将平面光栅从载物台上拿下，但不要调乱已调好的分光计。</w:t>
      </w:r>
    </w:p>
    <w:p>
      <w:pPr>
        <w:adjustRightInd w:val="0"/>
        <w:snapToGrid w:val="0"/>
        <w:spacing w:before="156" w:beforeLines="50" w:after="156" w:afterLines="50" w:line="360" w:lineRule="auto"/>
        <w:rPr>
          <w:rFonts w:ascii="宋体" w:hAnsi="宋体"/>
          <w:color w:val="000000" w:themeColor="text1"/>
          <w:sz w:val="24"/>
          <w:szCs w:val="24"/>
          <w14:textFill>
            <w14:solidFill>
              <w14:schemeClr w14:val="tx1"/>
            </w14:solidFill>
          </w14:textFill>
        </w:rPr>
      </w:pPr>
    </w:p>
    <w:p>
      <w:pPr>
        <w:adjustRightInd w:val="0"/>
        <w:snapToGrid w:val="0"/>
        <w:spacing w:before="156" w:beforeLines="50" w:after="156" w:afterLines="50"/>
        <w:rPr>
          <w:rFonts w:ascii="宋体" w:hAnsi="宋体"/>
          <w:color w:val="0000CC"/>
          <w:sz w:val="24"/>
          <w:szCs w:val="24"/>
        </w:rPr>
      </w:pPr>
      <w:r>
        <w:rPr>
          <w:rFonts w:hint="eastAsia" w:ascii="黑体" w:hAnsi="黑体" w:eastAsia="黑体"/>
          <w:b/>
          <w:sz w:val="28"/>
          <w:szCs w:val="28"/>
        </w:rPr>
        <w:t>五、数据处理</w:t>
      </w:r>
    </w:p>
    <w:p>
      <w:pPr>
        <w:adjustRightInd w:val="0"/>
        <w:snapToGrid w:val="0"/>
        <w:spacing w:before="156" w:beforeLines="50" w:after="156" w:afterLines="50" w:line="360" w:lineRule="auto"/>
        <w:ind w:firstLine="480" w:firstLineChars="200"/>
        <w:rPr>
          <w:rFonts w:ascii="宋体" w:hAnsi="宋体"/>
          <w:bCs/>
          <w:color w:val="000000" w:themeColor="text1"/>
          <w:sz w:val="24"/>
          <w:szCs w:val="24"/>
          <w14:textFill>
            <w14:solidFill>
              <w14:schemeClr w14:val="tx1"/>
            </w14:solidFill>
          </w14:textFill>
        </w:rPr>
      </w:pPr>
      <w:r>
        <w:rPr>
          <w:rFonts w:hint="eastAsia" w:ascii="宋体" w:hAnsi="宋体"/>
          <w:bCs/>
          <w:color w:val="000000" w:themeColor="text1"/>
          <w:sz w:val="24"/>
          <w:szCs w:val="24"/>
          <w14:textFill>
            <w14:solidFill>
              <w14:schemeClr w14:val="tx1"/>
            </w14:solidFill>
          </w14:textFill>
        </w:rPr>
        <w:t>以低压汞灯为光源，测量绿色谱线，数据如下表所示：</w:t>
      </w:r>
    </w:p>
    <w:p>
      <w:pPr>
        <w:adjustRightInd w:val="0"/>
        <w:snapToGrid w:val="0"/>
        <w:spacing w:before="156" w:beforeLines="50" w:after="156" w:afterLines="50" w:line="360" w:lineRule="auto"/>
        <w:jc w:val="center"/>
        <w:rPr>
          <w:rFonts w:ascii="宋体" w:hAnsi="宋体"/>
          <w:bCs/>
          <w:color w:val="000000" w:themeColor="text1"/>
          <w:sz w:val="24"/>
          <w:szCs w:val="24"/>
          <w14:textFill>
            <w14:solidFill>
              <w14:schemeClr w14:val="tx1"/>
            </w14:solidFill>
          </w14:textFill>
        </w:rPr>
      </w:pPr>
      <w:r>
        <w:rPr>
          <w:rFonts w:ascii="宋体" w:hAnsi="宋体"/>
          <w:bCs/>
          <w:color w:val="000000" w:themeColor="text1"/>
          <w:sz w:val="24"/>
          <w:szCs w:val="24"/>
          <w14:textFill>
            <w14:solidFill>
              <w14:schemeClr w14:val="tx1"/>
            </w14:solidFill>
          </w14:textFill>
        </w:rPr>
        <w:drawing>
          <wp:inline distT="0" distB="0" distL="0" distR="0">
            <wp:extent cx="5111750" cy="1485900"/>
            <wp:effectExtent l="0" t="0" r="0" b="0"/>
            <wp:docPr id="10246"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 name="Picture 194"/>
                    <pic:cNvPicPr>
                      <a:picLocks noChangeAspect="1" noChangeArrowheads="1"/>
                    </pic:cNvPicPr>
                  </pic:nvPicPr>
                  <pic:blipFill>
                    <a:blip r:embed="rId4">
                      <a:extLst>
                        <a:ext uri="{28A0092B-C50C-407E-A947-70E740481C1C}">
                          <a14:useLocalDpi xmlns:a14="http://schemas.microsoft.com/office/drawing/2010/main" val="0"/>
                        </a:ext>
                      </a:extLst>
                    </a:blip>
                    <a:srcRect l="1445" t="16696" r="1637" b="3577"/>
                    <a:stretch>
                      <a:fillRect/>
                    </a:stretch>
                  </pic:blipFill>
                  <pic:spPr>
                    <a:xfrm>
                      <a:off x="0" y="0"/>
                      <a:ext cx="5111750" cy="1485900"/>
                    </a:xfrm>
                    <a:prstGeom prst="rect">
                      <a:avLst/>
                    </a:prstGeom>
                    <a:noFill/>
                    <a:ln>
                      <a:noFill/>
                    </a:ln>
                  </pic:spPr>
                </pic:pic>
              </a:graphicData>
            </a:graphic>
          </wp:inline>
        </w:drawing>
      </w:r>
    </w:p>
    <w:p>
      <w:pPr>
        <w:adjustRightInd w:val="0"/>
        <w:snapToGrid w:val="0"/>
        <w:spacing w:before="156" w:beforeLines="50" w:after="156" w:afterLines="50" w:line="360" w:lineRule="auto"/>
        <w:jc w:val="center"/>
        <w:rPr>
          <w:rFonts w:ascii="宋体" w:hAnsi="宋体"/>
          <w:bCs/>
          <w:color w:val="000000" w:themeColor="text1"/>
          <w:sz w:val="24"/>
          <w:szCs w:val="24"/>
          <w14:textFill>
            <w14:solidFill>
              <w14:schemeClr w14:val="tx1"/>
            </w14:solidFill>
          </w14:textFill>
        </w:rPr>
      </w:pPr>
      <w:r>
        <w:rPr>
          <w:rFonts w:hint="eastAsia" w:ascii="宋体" w:hAnsi="宋体"/>
          <w:bCs/>
          <w:color w:val="000000" w:themeColor="text1"/>
          <w:sz w:val="24"/>
          <w:szCs w:val="24"/>
          <w14:textFill>
            <w14:solidFill>
              <w14:schemeClr w14:val="tx1"/>
            </w14:solidFill>
          </w14:textFill>
        </w:rPr>
        <w:t>表1</w:t>
      </w:r>
      <w:r>
        <w:rPr>
          <w:rFonts w:ascii="宋体" w:hAnsi="宋体"/>
          <w:bCs/>
          <w:color w:val="000000" w:themeColor="text1"/>
          <w:sz w:val="24"/>
          <w:szCs w:val="24"/>
          <w14:textFill>
            <w14:solidFill>
              <w14:schemeClr w14:val="tx1"/>
            </w14:solidFill>
          </w14:textFill>
        </w:rPr>
        <w:t xml:space="preserve"> </w:t>
      </w:r>
      <w:r>
        <w:rPr>
          <w:rFonts w:hint="eastAsia" w:ascii="宋体" w:hAnsi="宋体"/>
          <w:bCs/>
          <w:color w:val="000000" w:themeColor="text1"/>
          <w:sz w:val="24"/>
          <w:szCs w:val="24"/>
          <w14:textFill>
            <w14:solidFill>
              <w14:schemeClr w14:val="tx1"/>
            </w14:solidFill>
          </w14:textFill>
        </w:rPr>
        <w:t>绿色谱线的衍射角及光栅常数测定</w:t>
      </w:r>
    </w:p>
    <w:p>
      <w:pPr>
        <w:adjustRightInd w:val="0"/>
        <w:snapToGrid w:val="0"/>
        <w:spacing w:before="156" w:beforeLines="50" w:after="156" w:afterLines="50" w:line="360" w:lineRule="auto"/>
        <w:rPr>
          <w:rFonts w:ascii="宋体" w:hAnsi="宋体"/>
          <w:color w:val="000000" w:themeColor="text1"/>
          <w:sz w:val="24"/>
          <w:szCs w:val="24"/>
          <w14:textFill>
            <w14:solidFill>
              <w14:schemeClr w14:val="tx1"/>
            </w14:solidFill>
          </w14:textFill>
        </w:rPr>
      </w:pPr>
    </w:p>
    <w:p>
      <w:pPr>
        <w:adjustRightInd w:val="0"/>
        <w:snapToGrid w:val="0"/>
        <w:spacing w:before="156" w:beforeLines="50" w:after="156" w:afterLines="50" w:line="360" w:lineRule="auto"/>
        <w:ind w:firstLine="480" w:firstLineChars="20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测量衍射角，相应数据如下表所示：</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
        <w:gridCol w:w="828"/>
        <w:gridCol w:w="830"/>
        <w:gridCol w:w="830"/>
        <w:gridCol w:w="830"/>
        <w:gridCol w:w="830"/>
        <w:gridCol w:w="830"/>
        <w:gridCol w:w="830"/>
        <w:gridCol w:w="830"/>
        <w:gridCol w:w="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6" w:type="dxa"/>
            <w:gridSpan w:val="2"/>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vMerge w:val="restart"/>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28" w:type="dxa"/>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vMerge w:val="restart"/>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vMerge w:val="restart"/>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vMerge w:val="restart"/>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vMerge w:val="restart"/>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vMerge w:val="restart"/>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vMerge w:val="restart"/>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vMerge w:val="continue"/>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28" w:type="dxa"/>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vMerge w:val="continue"/>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vMerge w:val="continue"/>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vMerge w:val="continue"/>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vMerge w:val="continue"/>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vMerge w:val="continue"/>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vMerge w:val="continue"/>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vMerge w:val="restart"/>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28" w:type="dxa"/>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vMerge w:val="continue"/>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vMerge w:val="continue"/>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vMerge w:val="continue"/>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vMerge w:val="continue"/>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vMerge w:val="continue"/>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vMerge w:val="continue"/>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vMerge w:val="continue"/>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28" w:type="dxa"/>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vMerge w:val="continue"/>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vMerge w:val="continue"/>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vMerge w:val="continue"/>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vMerge w:val="continue"/>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vMerge w:val="continue"/>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c>
          <w:tcPr>
            <w:tcW w:w="830" w:type="dxa"/>
            <w:vMerge w:val="continue"/>
          </w:tcPr>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p>
        </w:tc>
      </w:tr>
    </w:tbl>
    <w:p>
      <w:pPr>
        <w:adjustRightInd w:val="0"/>
        <w:snapToGrid w:val="0"/>
        <w:spacing w:before="156" w:beforeLines="50" w:after="156" w:afterLines="50" w:line="360" w:lineRule="auto"/>
        <w:ind w:firstLine="480" w:firstLineChars="200"/>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表2</w:t>
      </w:r>
    </w:p>
    <w:p>
      <w:pPr>
        <w:adjustRightInd w:val="0"/>
        <w:snapToGrid w:val="0"/>
        <w:spacing w:before="156" w:beforeLines="50" w:after="156" w:afterLines="50" w:line="360" w:lineRule="auto"/>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计算</w:t>
      </w:r>
      <w:r>
        <w:rPr>
          <w:rFonts w:hint="eastAsia" w:ascii="宋体" w:hAnsi="宋体"/>
          <w:color w:val="000000" w:themeColor="text1"/>
          <w:sz w:val="24"/>
          <w:szCs w:val="24"/>
          <w14:textFill>
            <w14:solidFill>
              <w14:schemeClr w14:val="tx1"/>
            </w14:solidFill>
          </w14:textFill>
        </w:rPr>
        <w:t>得</w:t>
      </w:r>
      <w:r>
        <w:rPr>
          <w:rFonts w:ascii="宋体" w:hAnsi="宋体"/>
          <w:color w:val="000000" w:themeColor="text1"/>
          <w:sz w:val="24"/>
          <w:szCs w:val="24"/>
          <w14:textFill>
            <w14:solidFill>
              <w14:schemeClr w14:val="tx1"/>
            </w14:solidFill>
          </w14:textFill>
        </w:rPr>
        <w:t>超声波平均测量值为</w:t>
      </w:r>
      <m:oMath>
        <m:d>
          <m:dPr>
            <m:ctrlPr>
              <w:rPr>
                <w:rFonts w:ascii="Cambria Math" w:hAnsi="Cambria Math"/>
                <w:i/>
                <w:color w:val="000000" w:themeColor="text1"/>
                <w:sz w:val="24"/>
                <w:szCs w:val="24"/>
                <w14:textFill>
                  <w14:solidFill>
                    <w14:schemeClr w14:val="tx1"/>
                  </w14:solidFill>
                </w14:textFill>
              </w:rPr>
            </m:ctrlPr>
          </m:dPr>
          <m:e>
            <m:r>
              <m:rPr/>
              <w:rPr>
                <w:rFonts w:hint="eastAsia" w:ascii="Cambria Math" w:hAnsi="Cambria Math"/>
                <w:color w:val="000000" w:themeColor="text1"/>
                <w:sz w:val="24"/>
                <w:szCs w:val="24"/>
                <w14:textFill>
                  <w14:solidFill>
                    <w14:schemeClr w14:val="tx1"/>
                  </w14:solidFill>
                </w14:textFill>
              </w:rPr>
              <m:t>m</m:t>
            </m:r>
            <m:r>
              <m:rPr/>
              <w:rPr>
                <w:rFonts w:ascii="Cambria Math" w:hAnsi="Cambria Math"/>
                <w:color w:val="000000" w:themeColor="text1"/>
                <w:sz w:val="24"/>
                <w:szCs w:val="24"/>
                <w14:textFill>
                  <w14:solidFill>
                    <w14:schemeClr w14:val="tx1"/>
                  </w14:solidFill>
                </w14:textFill>
              </w:rPr>
              <m:t>/</m:t>
            </m:r>
            <m:r>
              <m:rPr/>
              <w:rPr>
                <w:rFonts w:hint="eastAsia" w:ascii="Cambria Math" w:hAnsi="Cambria Math"/>
                <w:color w:val="000000" w:themeColor="text1"/>
                <w:sz w:val="24"/>
                <w:szCs w:val="24"/>
                <w14:textFill>
                  <w14:solidFill>
                    <w14:schemeClr w14:val="tx1"/>
                  </w14:solidFill>
                </w14:textFill>
              </w:rPr>
              <m:t>s</m:t>
            </m:r>
            <m:ctrlPr>
              <w:rPr>
                <w:rFonts w:ascii="Cambria Math" w:hAnsi="Cambria Math"/>
                <w:i/>
                <w:color w:val="000000" w:themeColor="text1"/>
                <w:sz w:val="24"/>
                <w:szCs w:val="24"/>
                <w14:textFill>
                  <w14:solidFill>
                    <w14:schemeClr w14:val="tx1"/>
                  </w14:solidFill>
                </w14:textFill>
              </w:rPr>
            </m:ctrlPr>
          </m:e>
        </m:d>
      </m:oMath>
      <w:r>
        <w:rPr>
          <w:rFonts w:ascii="宋体" w:hAnsi="宋体"/>
          <w:color w:val="000000" w:themeColor="text1"/>
          <w:sz w:val="24"/>
          <w:szCs w:val="24"/>
          <w14:textFill>
            <w14:solidFill>
              <w14:schemeClr w14:val="tx1"/>
            </w14:solidFill>
          </w14:textFill>
        </w:rPr>
        <w:t>，与理论值相比。</w:t>
      </w:r>
    </w:p>
    <w:p>
      <w:pPr>
        <w:adjustRightInd w:val="0"/>
        <w:snapToGrid w:val="0"/>
        <w:spacing w:before="156" w:beforeLines="50" w:after="156" w:afterLines="50" w:line="360" w:lineRule="auto"/>
        <w:rPr>
          <w:rFonts w:ascii="宋体" w:hAnsi="宋体"/>
          <w:color w:val="000000" w:themeColor="text1"/>
          <w:sz w:val="24"/>
          <w:szCs w:val="24"/>
          <w14:textFill>
            <w14:solidFill>
              <w14:schemeClr w14:val="tx1"/>
            </w14:solidFill>
          </w14:textFill>
        </w:rPr>
      </w:pPr>
    </w:p>
    <w:p>
      <w:pPr>
        <w:adjustRightInd w:val="0"/>
        <w:snapToGrid w:val="0"/>
        <w:spacing w:before="156" w:beforeLines="50" w:after="156" w:afterLines="50" w:line="360" w:lineRule="auto"/>
        <w:rPr>
          <w:rFonts w:ascii="宋体" w:hAnsi="宋体"/>
          <w:color w:val="000000" w:themeColor="text1"/>
          <w:sz w:val="24"/>
          <w:szCs w:val="24"/>
          <w14:textFill>
            <w14:solidFill>
              <w14:schemeClr w14:val="tx1"/>
            </w14:solidFill>
          </w14:textFill>
        </w:rPr>
      </w:pPr>
    </w:p>
    <w:p>
      <w:pPr>
        <w:adjustRightInd w:val="0"/>
        <w:snapToGrid w:val="0"/>
        <w:spacing w:before="156" w:beforeLines="50" w:after="156" w:afterLines="50" w:line="360" w:lineRule="auto"/>
        <w:rPr>
          <w:rFonts w:ascii="宋体" w:hAnsi="宋体"/>
          <w:color w:val="000000" w:themeColor="text1"/>
          <w:sz w:val="24"/>
          <w:szCs w:val="24"/>
          <w14:textFill>
            <w14:solidFill>
              <w14:schemeClr w14:val="tx1"/>
            </w14:solidFill>
          </w14:textFill>
        </w:rPr>
      </w:pPr>
    </w:p>
    <w:p>
      <w:pPr>
        <w:adjustRightInd w:val="0"/>
        <w:snapToGrid w:val="0"/>
        <w:spacing w:before="156" w:beforeLines="50" w:after="156" w:afterLines="50" w:line="360" w:lineRule="auto"/>
        <w:rPr>
          <w:rFonts w:ascii="宋体" w:hAnsi="宋体"/>
          <w:color w:val="000000" w:themeColor="text1"/>
          <w:sz w:val="24"/>
          <w:szCs w:val="24"/>
          <w14:textFill>
            <w14:solidFill>
              <w14:schemeClr w14:val="tx1"/>
            </w14:solidFill>
          </w14:textFill>
        </w:rPr>
      </w:pPr>
    </w:p>
    <w:p>
      <w:pPr>
        <w:adjustRightInd w:val="0"/>
        <w:snapToGrid w:val="0"/>
        <w:spacing w:before="156" w:beforeLines="50" w:after="156" w:afterLines="50" w:line="360" w:lineRule="auto"/>
        <w:rPr>
          <w:rFonts w:ascii="宋体" w:hAnsi="宋体"/>
          <w:color w:val="000000" w:themeColor="text1"/>
          <w:sz w:val="24"/>
          <w:szCs w:val="24"/>
          <w14:textFill>
            <w14:solidFill>
              <w14:schemeClr w14:val="tx1"/>
            </w14:solidFill>
          </w14:textFill>
        </w:rPr>
      </w:pPr>
    </w:p>
    <w:p>
      <w:pPr>
        <w:adjustRightInd w:val="0"/>
        <w:snapToGrid w:val="0"/>
        <w:spacing w:before="156" w:beforeLines="50" w:after="156" w:afterLines="50"/>
        <w:rPr>
          <w:rFonts w:ascii="宋体" w:hAnsi="宋体"/>
          <w:color w:val="0000CC"/>
          <w:sz w:val="24"/>
          <w:szCs w:val="24"/>
        </w:rPr>
      </w:pPr>
      <w:r>
        <w:rPr>
          <w:rFonts w:hint="eastAsia" w:ascii="黑体" w:hAnsi="黑体" w:eastAsia="黑体"/>
          <w:b/>
          <w:sz w:val="28"/>
          <w:szCs w:val="28"/>
        </w:rPr>
        <w:t>六、结论及分析</w:t>
      </w:r>
    </w:p>
    <w:p>
      <w:pPr>
        <w:adjustRightInd w:val="0"/>
        <w:snapToGrid w:val="0"/>
        <w:spacing w:before="156" w:beforeLines="50" w:after="156" w:afterLines="50" w:line="360" w:lineRule="auto"/>
        <w:ind w:firstLine="480" w:firstLineChars="20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本次实验，测得光栅常数</w:t>
      </w:r>
      <m:oMath>
        <m:r>
          <m:rPr/>
          <w:rPr>
            <w:rFonts w:hint="eastAsia" w:ascii="Cambria Math" w:hAnsi="Cambria Math"/>
            <w:color w:val="000000" w:themeColor="text1"/>
            <w:sz w:val="24"/>
            <w:szCs w:val="24"/>
            <w14:textFill>
              <w14:solidFill>
                <w14:schemeClr w14:val="tx1"/>
              </w14:solidFill>
            </w14:textFill>
          </w:rPr>
          <m:t>d</m:t>
        </m:r>
        <m:r>
          <m:rPr/>
          <w:rPr>
            <w:rFonts w:ascii="Cambria Math" w:hAnsi="Cambria Math"/>
            <w:color w:val="000000" w:themeColor="text1"/>
            <w:sz w:val="24"/>
            <w:szCs w:val="24"/>
            <w14:textFill>
              <w14:solidFill>
                <w14:schemeClr w14:val="tx1"/>
              </w14:solidFill>
            </w14:textFill>
          </w:rPr>
          <m:t>=1.570(mm)</m:t>
        </m:r>
      </m:oMath>
      <w:r>
        <w:rPr>
          <w:rFonts w:ascii="宋体" w:hAnsi="宋体"/>
          <w:color w:val="000000" w:themeColor="text1"/>
          <w:sz w:val="24"/>
          <w:szCs w:val="24"/>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光栅角色散</w:t>
      </w:r>
      <m:oMath>
        <m:r>
          <m:rPr/>
          <w:rPr>
            <w:rFonts w:ascii="Cambria Math" w:hAnsi="Cambria Math"/>
            <w:color w:val="000000" w:themeColor="text1"/>
            <w:sz w:val="24"/>
            <w:szCs w:val="24"/>
            <w14:textFill>
              <w14:solidFill>
                <w14:schemeClr w14:val="tx1"/>
              </w14:solidFill>
            </w14:textFill>
          </w:rPr>
          <m:t>D=0.4286</m:t>
        </m:r>
      </m:oMath>
      <w:r>
        <w:rPr>
          <w:rFonts w:hint="eastAsia" w:ascii="宋体" w:hAnsi="宋体"/>
          <w:color w:val="000000" w:themeColor="text1"/>
          <w:sz w:val="24"/>
          <w:szCs w:val="24"/>
          <w14:textFill>
            <w14:solidFill>
              <w14:schemeClr w14:val="tx1"/>
            </w14:solidFill>
          </w14:textFill>
        </w:rPr>
        <w:t>，分辨本领</w:t>
      </w:r>
      <m:oMath>
        <m:r>
          <m:rPr/>
          <w:rPr>
            <w:rFonts w:ascii="Cambria Math" w:hAnsi="Cambria Math"/>
            <w:color w:val="000000" w:themeColor="text1"/>
            <w:sz w:val="24"/>
            <w:szCs w:val="24"/>
            <w14:textFill>
              <w14:solidFill>
                <w14:schemeClr w14:val="tx1"/>
              </w14:solidFill>
            </w14:textFill>
          </w:rPr>
          <m:t>R=430.2</m:t>
        </m:r>
      </m:oMath>
      <w:r>
        <w:rPr>
          <w:rFonts w:ascii="宋体" w:hAnsi="宋体"/>
          <w:color w:val="000000" w:themeColor="text1"/>
          <w:sz w:val="24"/>
          <w:szCs w:val="24"/>
          <w14:textFill>
            <w14:solidFill>
              <w14:schemeClr w14:val="tx1"/>
            </w14:solidFill>
          </w14:textFill>
        </w:rPr>
        <w:t>。</w:t>
      </w:r>
    </w:p>
    <w:p>
      <w:pPr>
        <w:adjustRightInd w:val="0"/>
        <w:snapToGrid w:val="0"/>
        <w:spacing w:before="156" w:beforeLines="50" w:after="156" w:afterLines="50" w:line="360" w:lineRule="auto"/>
        <w:rPr>
          <w:rFonts w:ascii="宋体" w:hAnsi="宋体"/>
          <w:color w:val="000000" w:themeColor="text1"/>
          <w:sz w:val="24"/>
          <w:szCs w:val="24"/>
          <w14:textFill>
            <w14:solidFill>
              <w14:schemeClr w14:val="tx1"/>
            </w14:solidFill>
          </w14:textFill>
        </w:rPr>
      </w:pPr>
    </w:p>
    <w:p>
      <w:pPr>
        <w:adjustRightInd w:val="0"/>
        <w:snapToGrid w:val="0"/>
        <w:spacing w:before="156" w:beforeLines="50" w:after="156" w:afterLines="50"/>
        <w:rPr>
          <w:rFonts w:ascii="宋体" w:hAnsi="宋体"/>
          <w:color w:val="0000CC"/>
          <w:sz w:val="24"/>
          <w:szCs w:val="24"/>
        </w:rPr>
      </w:pPr>
      <w:r>
        <w:rPr>
          <w:rFonts w:hint="eastAsia" w:ascii="黑体" w:hAnsi="黑体" w:eastAsia="黑体"/>
          <w:b/>
          <w:sz w:val="28"/>
          <w:szCs w:val="28"/>
        </w:rPr>
        <w:t>七、实验总结</w:t>
      </w:r>
    </w:p>
    <w:p>
      <w:pPr>
        <w:adjustRightInd w:val="0"/>
        <w:snapToGrid w:val="0"/>
        <w:spacing w:before="156" w:beforeLines="50" w:after="156" w:afterLines="50" w:line="360" w:lineRule="auto"/>
        <w:rPr>
          <w:rFonts w:ascii="宋体" w:hAnsi="宋体"/>
          <w:bCs/>
          <w:color w:val="000000" w:themeColor="text1"/>
          <w:sz w:val="24"/>
          <w:szCs w:val="24"/>
          <w14:textFill>
            <w14:solidFill>
              <w14:schemeClr w14:val="tx1"/>
            </w14:solidFill>
          </w14:textFill>
        </w:rPr>
      </w:pPr>
    </w:p>
    <w:p>
      <w:pPr>
        <w:adjustRightInd w:val="0"/>
        <w:snapToGrid w:val="0"/>
        <w:spacing w:before="156" w:beforeLines="50" w:after="156" w:afterLines="50" w:line="360" w:lineRule="auto"/>
        <w:rPr>
          <w:rFonts w:ascii="宋体" w:hAnsi="宋体"/>
          <w:bCs/>
          <w:color w:val="000000" w:themeColor="text1"/>
          <w:sz w:val="24"/>
          <w:szCs w:val="24"/>
          <w14:textFill>
            <w14:solidFill>
              <w14:schemeClr w14:val="tx1"/>
            </w14:solidFill>
          </w14:textFill>
        </w:rPr>
      </w:pPr>
    </w:p>
    <w:p>
      <w:pPr>
        <w:adjustRightInd w:val="0"/>
        <w:snapToGrid w:val="0"/>
        <w:spacing w:before="156" w:beforeLines="50" w:after="156" w:afterLines="50" w:line="360" w:lineRule="auto"/>
        <w:rPr>
          <w:rFonts w:ascii="宋体" w:hAnsi="宋体"/>
          <w:bCs/>
          <w:color w:val="000000" w:themeColor="text1"/>
          <w:sz w:val="24"/>
          <w:szCs w:val="24"/>
          <w14:textFill>
            <w14:solidFill>
              <w14:schemeClr w14:val="tx1"/>
            </w14:solidFill>
          </w14:textFill>
        </w:rPr>
      </w:pPr>
    </w:p>
    <w:p>
      <w:pPr>
        <w:adjustRightInd w:val="0"/>
        <w:snapToGrid w:val="0"/>
        <w:spacing w:before="156" w:beforeLines="50" w:after="156" w:afterLines="50" w:line="360" w:lineRule="auto"/>
        <w:rPr>
          <w:rFonts w:ascii="宋体" w:hAnsi="宋体"/>
          <w:bCs/>
          <w:color w:val="000000" w:themeColor="text1"/>
          <w:sz w:val="24"/>
          <w:szCs w:val="24"/>
          <w14:textFill>
            <w14:solidFill>
              <w14:schemeClr w14:val="tx1"/>
            </w14:solidFill>
          </w14:textFill>
        </w:rPr>
      </w:pPr>
    </w:p>
    <w:p>
      <w:pPr>
        <w:spacing w:line="360" w:lineRule="auto"/>
        <w:rPr>
          <w:color w:val="000000" w:themeColor="text1"/>
          <w14:textFill>
            <w14:solidFill>
              <w14:schemeClr w14:val="tx1"/>
            </w14:solidFill>
          </w14:textFill>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wNjhlYTYxMTYyM2U5Mzg4ODVjMmNiZWY0ODY0MDUifQ=="/>
  </w:docVars>
  <w:rsids>
    <w:rsidRoot w:val="00B36B9A"/>
    <w:rsid w:val="000A682F"/>
    <w:rsid w:val="000B07CF"/>
    <w:rsid w:val="000B7F02"/>
    <w:rsid w:val="001208B3"/>
    <w:rsid w:val="00266CDC"/>
    <w:rsid w:val="003400A4"/>
    <w:rsid w:val="003B2C52"/>
    <w:rsid w:val="004F3E9D"/>
    <w:rsid w:val="00525BEB"/>
    <w:rsid w:val="006155F9"/>
    <w:rsid w:val="0066217C"/>
    <w:rsid w:val="0076396B"/>
    <w:rsid w:val="00797AF0"/>
    <w:rsid w:val="009F6A51"/>
    <w:rsid w:val="00A448DE"/>
    <w:rsid w:val="00AF3293"/>
    <w:rsid w:val="00B36B9A"/>
    <w:rsid w:val="00BE2A61"/>
    <w:rsid w:val="00BE7DCD"/>
    <w:rsid w:val="00CB669B"/>
    <w:rsid w:val="00F1709A"/>
    <w:rsid w:val="23627CA5"/>
    <w:rsid w:val="3DCA23ED"/>
    <w:rsid w:val="468C48C7"/>
    <w:rsid w:val="61596D14"/>
    <w:rsid w:val="63FC741F"/>
    <w:rsid w:val="6A2F40E2"/>
    <w:rsid w:val="6A4C4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Placeholder Text"/>
    <w:basedOn w:val="4"/>
    <w:semiHidden/>
    <w:uiPriority w:val="99"/>
    <w:rPr>
      <w:color w:val="80808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331</Words>
  <Characters>1888</Characters>
  <Lines>15</Lines>
  <Paragraphs>4</Paragraphs>
  <TotalTime>0</TotalTime>
  <ScaleCrop>false</ScaleCrop>
  <LinksUpToDate>false</LinksUpToDate>
  <CharactersWithSpaces>2215</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2021-11-24T04:01:00Z</dcterms:created>
  <dc:creator>Archer Wed</dc:creator>
  <cp:lastModifiedBy>剑雨SwordRain</cp:lastModifiedBy>
  <dcterms:modified xsi:type="dcterms:W3CDTF">2024-02-26T14:02:32Z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7A5E8BB71C11472F95FEA016A19E9DA2_12</vt:lpwstr>
  </property>
</Properties>
</file>