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49"/>
        <w:pBdr/>
        <w:spacing w:after="200" w:before="400" w:line="400" w:lineRule="exact"/>
        <w:ind/>
        <w:jc w:val="center"/>
        <w:rPr>
          <w:rFonts w:hint="eastAsia" w:ascii="黑体" w:eastAsia="黑体"/>
          <w:b/>
          <w:sz w:val="36"/>
          <w:szCs w:val="36"/>
        </w:rPr>
      </w:pPr>
      <w:r>
        <w:rPr>
          <w:rFonts w:hint="eastAsia" w:ascii="黑体" w:eastAsia="黑体"/>
          <w:b/>
          <w:bCs/>
          <w:sz w:val="44"/>
          <w:szCs w:val="44"/>
        </w:rPr>
        <w:t xml:space="preserve">Literature review of Students writing engagement</w:t>
      </w:r>
      <w:r>
        <w:rPr>
          <w:rFonts w:hint="eastAsia" w:ascii="黑体" w:eastAsia="黑体"/>
          <w:b/>
          <w:sz w:val="36"/>
          <w:szCs w:val="36"/>
        </w:rPr>
      </w:r>
      <w:r>
        <w:rPr>
          <w:rFonts w:hint="eastAsia" w:ascii="黑体" w:eastAsia="黑体"/>
          <w:b/>
          <w:sz w:val="36"/>
          <w:szCs w:val="36"/>
        </w:rPr>
      </w:r>
    </w:p>
    <w:p>
      <w:pPr>
        <w:pStyle w:val="749"/>
        <w:pBdr/>
        <w:tabs>
          <w:tab w:val="left" w:leader="none" w:pos="6583"/>
        </w:tabs>
        <w:spacing w:after="200" w:before="200" w:line="400" w:lineRule="exact"/>
        <w:ind/>
        <w:jc w:val="center"/>
        <w:rPr>
          <w:rFonts w:hint="eastAsia" w:ascii="黑体" w:eastAsia="黑体"/>
          <w:b/>
          <w:sz w:val="36"/>
          <w:szCs w:val="36"/>
        </w:rPr>
      </w:pPr>
      <w:r>
        <w:rPr>
          <w:rFonts w:hint="eastAsia" w:ascii="黑体" w:eastAsia="黑体"/>
          <w:b/>
          <w:sz w:val="36"/>
          <w:szCs w:val="36"/>
        </w:rPr>
      </w:r>
      <w:r>
        <w:rPr>
          <w:rFonts w:hint="eastAsia" w:ascii="黑体" w:eastAsia="黑体"/>
          <w:b/>
          <w:sz w:val="36"/>
          <w:szCs w:val="36"/>
        </w:rPr>
      </w:r>
    </w:p>
    <w:p>
      <w:pPr>
        <w:pStyle w:val="749"/>
        <w:pBdr/>
        <w:spacing w:after="200" w:before="200" w:line="400" w:lineRule="exact"/>
        <w:ind/>
        <w:jc w:val="center"/>
        <w:rPr>
          <w:rFonts w:hint="eastAsia" w:ascii="仿宋_GB2312" w:eastAsia="仿宋_GB2312"/>
          <w:b/>
          <w:bCs/>
          <w:sz w:val="32"/>
          <w:szCs w:val="32"/>
        </w:rPr>
      </w:pPr>
      <w:r>
        <w:rPr>
          <w:rFonts w:hint="eastAsia" w:ascii="仿宋_GB2312" w:eastAsia="仿宋_GB2312"/>
          <w:b/>
          <w:bCs/>
          <w:sz w:val="32"/>
          <w:szCs w:val="32"/>
          <w:lang w:val="en-US" w:eastAsia="zh-CN"/>
        </w:rPr>
        <w:t xml:space="preserve">Student</w:t>
      </w:r>
      <w:r>
        <w:rPr>
          <w:rFonts w:ascii="仿宋_GB2312" w:eastAsia="仿宋_GB2312"/>
          <w:b/>
          <w:bCs/>
          <w:sz w:val="32"/>
          <w:szCs w:val="32"/>
          <w:lang w:val="en-US" w:eastAsia="zh-CN"/>
        </w:rPr>
        <w:t xml:space="preserve">’</w:t>
      </w:r>
      <w:r>
        <w:rPr>
          <w:rFonts w:hint="eastAsia" w:ascii="仿宋_GB2312" w:eastAsia="仿宋_GB2312"/>
          <w:b/>
          <w:bCs/>
          <w:sz w:val="32"/>
          <w:szCs w:val="32"/>
          <w:lang w:val="en-US" w:eastAsia="zh-CN"/>
        </w:rPr>
        <w:t xml:space="preserve">s name</w:t>
      </w:r>
      <w:r>
        <w:rPr>
          <w:rFonts w:hint="eastAsia" w:ascii="仿宋_GB2312" w:eastAsia="仿宋_GB2312"/>
          <w:b/>
          <w:bCs/>
          <w:sz w:val="32"/>
          <w:szCs w:val="32"/>
        </w:rPr>
        <w:t xml:space="preserve">：</w:t>
      </w:r>
      <w:r>
        <w:rPr>
          <w:rFonts w:hint="eastAsia" w:ascii="仿宋_GB2312" w:eastAsia="仿宋_GB2312"/>
          <w:b/>
          <w:bCs/>
          <w:sz w:val="32"/>
          <w:szCs w:val="32"/>
        </w:rPr>
      </w:r>
      <w:r>
        <w:rPr>
          <w:rFonts w:hint="eastAsia" w:ascii="仿宋_GB2312" w:eastAsia="仿宋_GB2312"/>
          <w:b/>
          <w:bCs/>
          <w:sz w:val="32"/>
          <w:szCs w:val="32"/>
        </w:rPr>
      </w:r>
    </w:p>
    <w:p>
      <w:pPr>
        <w:pStyle w:val="750"/>
        <w:pBdr/>
        <w:bidi w:val="false"/>
        <w:spacing/>
        <w:ind/>
        <w:rPr>
          <w:lang w:val="en-US" w:eastAsia="zh-CN"/>
        </w:rPr>
      </w:pPr>
      <w:r>
        <w:rPr>
          <w:rFonts w:hint="eastAsia"/>
          <w:lang w:val="en-US" w:eastAsia="zh-CN"/>
        </w:rPr>
        <w:t xml:space="preserve">Introduction</w:t>
      </w:r>
      <w:r>
        <w:rPr>
          <w:lang w:val="en-US" w:eastAsia="zh-CN"/>
        </w:rPr>
      </w:r>
      <w:r>
        <w:rPr>
          <w:lang w:val="en-US" w:eastAsia="zh-CN"/>
        </w:rPr>
      </w:r>
    </w:p>
    <w:p>
      <w:pPr>
        <w:pStyle w:val="749"/>
        <w:pBdr/>
        <w:spacing w:line="480" w:lineRule="auto"/>
        <w:ind/>
        <w:rPr>
          <w:rFonts w:hint="eastAsia" w:ascii="HarmonyOS Sans SC" w:hAnsi="HarmonyOS Sans SC" w:eastAsia="HarmonyOS Sans SC" w:cs="HarmonyOS Sans SC"/>
          <w:sz w:val="21"/>
          <w:szCs w:val="21"/>
          <w:lang w:val="en-US" w:eastAsia="zh-CN"/>
        </w:rPr>
      </w:pPr>
      <w:r>
        <w:rPr>
          <w:rFonts w:hint="eastAsia" w:ascii="HarmonyOS Sans SC" w:hAnsi="HarmonyOS Sans SC" w:eastAsia="HarmonyOS Sans SC" w:cs="HarmonyOS Sans SC"/>
          <w:sz w:val="21"/>
          <w:szCs w:val="21"/>
          <w:lang w:val="en-US" w:eastAsia="zh-CN"/>
        </w:rPr>
        <w:t xml:space="preserve">    This term I am honored to participate in Mrs.Julia</w:t>
      </w:r>
      <w:r>
        <w:rPr>
          <w:rFonts w:ascii="HarmonyOS Sans SC" w:hAnsi="HarmonyOS Sans SC" w:eastAsia="HarmonyOS Sans SC" w:cs="HarmonyOS Sans SC"/>
          <w:sz w:val="21"/>
          <w:szCs w:val="21"/>
          <w:lang w:val="en-US" w:eastAsia="zh-CN"/>
        </w:rPr>
        <w:t xml:space="preserve">’</w:t>
      </w:r>
      <w:r>
        <w:rPr>
          <w:rFonts w:hint="eastAsia" w:ascii="HarmonyOS Sans SC" w:hAnsi="HarmonyOS Sans SC" w:eastAsia="HarmonyOS Sans SC" w:cs="HarmonyOS Sans SC"/>
          <w:sz w:val="21"/>
          <w:szCs w:val="21"/>
          <w:lang w:val="en-US" w:eastAsia="zh-CN"/>
        </w:rPr>
        <w:t xml:space="preserve">s group and study students</w:t>
      </w:r>
      <w:r>
        <w:rPr>
          <w:rFonts w:ascii="HarmonyOS Sans SC" w:hAnsi="HarmonyOS Sans SC" w:eastAsia="HarmonyOS Sans SC" w:cs="HarmonyOS Sans SC"/>
          <w:sz w:val="21"/>
          <w:szCs w:val="21"/>
          <w:lang w:val="en-US" w:eastAsia="zh-CN"/>
        </w:rPr>
        <w:t xml:space="preserve">’</w:t>
      </w:r>
      <w:r>
        <w:rPr>
          <w:rFonts w:hint="eastAsia" w:ascii="HarmonyOS Sans SC" w:hAnsi="HarmonyOS Sans SC" w:eastAsia="HarmonyOS Sans SC" w:cs="HarmonyOS Sans SC"/>
          <w:sz w:val="21"/>
          <w:szCs w:val="21"/>
          <w:lang w:val="en-US" w:eastAsia="zh-CN"/>
        </w:rPr>
        <w:t xml:space="preserve"> writing and study engagement.And I suppose our group</w:t>
      </w:r>
      <w:r>
        <w:rPr>
          <w:rFonts w:ascii="HarmonyOS Sans SC" w:hAnsi="HarmonyOS Sans SC" w:eastAsia="HarmonyOS Sans SC" w:cs="HarmonyOS Sans SC"/>
          <w:sz w:val="21"/>
          <w:szCs w:val="21"/>
          <w:lang w:val="en-US" w:eastAsia="zh-CN"/>
        </w:rPr>
        <w:t xml:space="preserve">’</w:t>
      </w:r>
      <w:r>
        <w:rPr>
          <w:rFonts w:hint="eastAsia" w:ascii="HarmonyOS Sans SC" w:hAnsi="HarmonyOS Sans SC" w:eastAsia="HarmonyOS Sans SC" w:cs="HarmonyOS Sans SC"/>
          <w:sz w:val="21"/>
          <w:szCs w:val="21"/>
          <w:lang w:val="en-US" w:eastAsia="zh-CN"/>
        </w:rPr>
        <w:t xml:space="preserve">s study is crucial.</w:t>
      </w:r>
      <w:r>
        <w:rPr>
          <w:rFonts w:hint="eastAsia" w:ascii="HarmonyOS Sans SC" w:hAnsi="HarmonyOS Sans SC" w:eastAsia="HarmonyOS Sans SC" w:cs="HarmonyOS Sans SC"/>
          <w:sz w:val="21"/>
          <w:szCs w:val="21"/>
          <w:lang w:val="en-US" w:eastAsia="zh-CN"/>
        </w:rPr>
      </w:r>
      <w:r>
        <w:rPr>
          <w:rFonts w:hint="eastAsia"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hint="eastAsia" w:ascii="HarmonyOS Sans SC" w:hAnsi="HarmonyOS Sans SC" w:eastAsia="HarmonyOS Sans SC" w:cs="HarmonyOS Sans SC"/>
          <w:sz w:val="21"/>
          <w:szCs w:val="21"/>
          <w:lang w:val="en-US" w:eastAsia="zh-CN"/>
        </w:rPr>
        <w:t xml:space="preserve">I think this study will promote us students to enhance o</w:t>
      </w:r>
      <w:r>
        <w:rPr>
          <w:rFonts w:hint="eastAsia" w:ascii="HarmonyOS Sans SC" w:hAnsi="HarmonyOS Sans SC" w:eastAsia="HarmonyOS Sans SC" w:cs="HarmonyOS Sans SC"/>
          <w:sz w:val="21"/>
          <w:szCs w:val="21"/>
          <w:lang w:val="en-US" w:eastAsia="zh-CN"/>
        </w:rPr>
        <w:t xml:space="preserve">ur writing skills.Because understanding the level of student engagement in the writing process can help educators develop more effective teaching strategies to enhance students' writing skills and overall writing quality.And we can also be more appreciativ</w:t>
      </w:r>
      <w:r>
        <w:rPr>
          <w:rFonts w:hint="eastAsia" w:ascii="HarmonyOS Sans SC" w:hAnsi="HarmonyOS Sans SC" w:eastAsia="HarmonyOS Sans SC" w:cs="HarmonyOS Sans SC"/>
          <w:sz w:val="21"/>
          <w:szCs w:val="21"/>
          <w:lang w:val="en-US" w:eastAsia="zh-CN"/>
        </w:rPr>
        <w:t xml:space="preserve">e through the positive and personalized way the educators teach.In general,researching student engagement in writing is crucial for enhancing writing skills, supporting student development, refining teaching practices, and optimizing educational resources.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hint="eastAsia" w:ascii="HarmonyOS Sans SC" w:hAnsi="HarmonyOS Sans SC" w:eastAsia="HarmonyOS Sans SC" w:cs="HarmonyOS Sans SC"/>
          <w:i/>
          <w:iCs/>
          <w:sz w:val="21"/>
          <w:szCs w:val="21"/>
          <w:u w:val="single"/>
          <w:lang w:val="en-US" w:eastAsia="zh-CN"/>
        </w:rPr>
      </w:pPr>
      <w:r>
        <w:rPr>
          <w:rFonts w:hint="eastAsia" w:ascii="HarmonyOS Sans SC" w:hAnsi="HarmonyOS Sans SC" w:eastAsia="HarmonyOS Sans SC" w:cs="HarmonyOS Sans SC"/>
          <w:sz w:val="21"/>
          <w:szCs w:val="21"/>
          <w:lang w:val="en-US" w:eastAsia="zh-CN"/>
        </w:rPr>
        <w:t xml:space="preserve">  Through nearly six months learning , I am impressed in the so-called </w:t>
      </w:r>
      <w:r>
        <w:rPr>
          <w:rFonts w:ascii="HarmonyOS Sans SC" w:hAnsi="HarmonyOS Sans SC" w:eastAsia="HarmonyOS Sans SC" w:cs="HarmonyOS Sans SC"/>
          <w:sz w:val="21"/>
          <w:szCs w:val="21"/>
          <w:lang w:val="en-US" w:eastAsia="zh-CN"/>
        </w:rPr>
        <w:t xml:space="preserve">“</w:t>
      </w:r>
      <w:r>
        <w:rPr>
          <w:rFonts w:hint="eastAsia" w:ascii="HarmonyOS Sans SC" w:hAnsi="HarmonyOS Sans SC" w:eastAsia="HarmonyOS Sans SC" w:cs="HarmonyOS Sans SC"/>
          <w:sz w:val="21"/>
          <w:szCs w:val="21"/>
          <w:lang w:val="en-US" w:eastAsia="zh-CN"/>
        </w:rPr>
        <w:t xml:space="preserve">dramatic coincidence</w:t>
      </w:r>
      <w:r>
        <w:rPr>
          <w:rFonts w:ascii="HarmonyOS Sans SC" w:hAnsi="HarmonyOS Sans SC" w:eastAsia="HarmonyOS Sans SC" w:cs="HarmonyOS Sans SC"/>
          <w:sz w:val="21"/>
          <w:szCs w:val="21"/>
          <w:lang w:val="en-US" w:eastAsia="zh-CN"/>
        </w:rPr>
        <w:t xml:space="preserve">”</w:t>
      </w:r>
      <w:r>
        <w:rPr>
          <w:rFonts w:hint="eastAsia" w:ascii="HarmonyOS Sans SC" w:hAnsi="HarmonyOS Sans SC" w:eastAsia="HarmonyOS Sans SC" w:cs="HarmonyOS Sans SC"/>
          <w:sz w:val="21"/>
          <w:szCs w:val="21"/>
          <w:lang w:val="en-US" w:eastAsia="zh-CN"/>
        </w:rPr>
        <w:t xml:space="preserve">in this topic. I choose seven academic papers to summarize and analyze existing research,and also lay us groups a foundation for futu</w:t>
      </w:r>
      <w:r>
        <w:rPr>
          <w:rFonts w:hint="eastAsia" w:ascii="HarmonyOS Sans SC" w:hAnsi="HarmonyOS Sans SC" w:eastAsia="HarmonyOS Sans SC" w:cs="HarmonyOS Sans SC"/>
          <w:i/>
          <w:iCs/>
          <w:sz w:val="21"/>
          <w:szCs w:val="21"/>
          <w:u w:val="single"/>
          <w:lang w:val="en-US" w:eastAsia="zh-CN"/>
        </w:rPr>
        <w:t xml:space="preserve">re studies. The papers</w:t>
      </w:r>
      <w:r>
        <w:rPr>
          <w:rFonts w:ascii="HarmonyOS Sans SC" w:hAnsi="HarmonyOS Sans SC" w:eastAsia="HarmonyOS Sans SC" w:cs="HarmonyOS Sans SC"/>
          <w:i/>
          <w:iCs/>
          <w:sz w:val="21"/>
          <w:szCs w:val="21"/>
          <w:u w:val="single"/>
          <w:lang w:val="en-US" w:eastAsia="zh-CN"/>
        </w:rPr>
        <w:t xml:space="preserve">’</w:t>
      </w:r>
      <w:r>
        <w:rPr>
          <w:rFonts w:hint="eastAsia" w:ascii="HarmonyOS Sans SC" w:hAnsi="HarmonyOS Sans SC" w:eastAsia="HarmonyOS Sans SC" w:cs="HarmonyOS Sans SC"/>
          <w:i/>
          <w:iCs/>
          <w:sz w:val="21"/>
          <w:szCs w:val="21"/>
          <w:u w:val="single"/>
          <w:lang w:val="en-US" w:eastAsia="zh-CN"/>
        </w:rPr>
        <w:t xml:space="preserve"> titles are lined below.</w:t>
      </w:r>
      <w:r>
        <w:rPr>
          <w:rFonts w:hint="eastAsia" w:ascii="HarmonyOS Sans SC" w:hAnsi="HarmonyOS Sans SC" w:eastAsia="HarmonyOS Sans SC" w:cs="HarmonyOS Sans SC"/>
          <w:i/>
          <w:iCs/>
          <w:sz w:val="21"/>
          <w:szCs w:val="21"/>
          <w:u w:val="single"/>
          <w:lang w:val="en-US" w:eastAsia="zh-CN"/>
        </w:rPr>
      </w:r>
      <w:r>
        <w:rPr>
          <w:rFonts w:hint="eastAsia" w:ascii="HarmonyOS Sans SC" w:hAnsi="HarmonyOS Sans SC" w:eastAsia="HarmonyOS Sans SC" w:cs="HarmonyOS Sans SC"/>
          <w:i/>
          <w:iCs/>
          <w:sz w:val="21"/>
          <w:szCs w:val="21"/>
          <w:u w:val="single"/>
          <w:lang w:val="en-US" w:eastAsia="zh-CN"/>
        </w:rPr>
      </w:r>
    </w:p>
    <w:p>
      <w:pPr>
        <w:pStyle w:val="749"/>
        <w:pBdr/>
        <w:spacing w:line="480" w:lineRule="auto"/>
        <w:ind w:firstLine="452"/>
        <w:rPr>
          <w:rFonts w:hint="eastAsia" w:ascii="HarmonyOS Sans SC" w:hAnsi="HarmonyOS Sans SC" w:eastAsia="HarmonyOS Sans SC" w:cs="HarmonyOS Sans SC"/>
          <w:i/>
          <w:iCs/>
          <w:sz w:val="21"/>
          <w:szCs w:val="21"/>
          <w:u w:val="single"/>
          <w:lang w:val="en-US" w:eastAsia="zh-CN"/>
        </w:rPr>
      </w:pPr>
      <w:r>
        <w:rPr>
          <w:rFonts w:hint="eastAsia" w:ascii="HarmonyOS Sans SC" w:hAnsi="HarmonyOS Sans SC" w:eastAsia="HarmonyOS Sans SC" w:cs="HarmonyOS Sans SC"/>
          <w:i/>
          <w:iCs/>
          <w:sz w:val="21"/>
          <w:szCs w:val="21"/>
          <w:u w:val="single"/>
          <w:lang w:val="en-US" w:eastAsia="zh-CN"/>
        </w:rPr>
        <w:t xml:space="preserve">1:Zhou Hiver 2022 The effect of SRW Son students L2 writing engagement and disengagement</w:t>
      </w:r>
      <w:r>
        <w:rPr>
          <w:rFonts w:hint="eastAsia" w:ascii="HarmonyOS Sans SC" w:hAnsi="HarmonyOS Sans SC" w:eastAsia="HarmonyOS Sans SC" w:cs="HarmonyOS Sans SC"/>
          <w:i/>
          <w:iCs/>
          <w:sz w:val="21"/>
          <w:szCs w:val="21"/>
          <w:u w:val="single"/>
          <w:lang w:val="en-US" w:eastAsia="zh-CN"/>
        </w:rPr>
      </w:r>
      <w:r>
        <w:rPr>
          <w:rFonts w:hint="eastAsia" w:ascii="HarmonyOS Sans SC" w:hAnsi="HarmonyOS Sans SC" w:eastAsia="HarmonyOS Sans SC" w:cs="HarmonyOS Sans SC"/>
          <w:i/>
          <w:iCs/>
          <w:sz w:val="21"/>
          <w:szCs w:val="21"/>
          <w:u w:val="single"/>
          <w:lang w:val="en-US" w:eastAsia="zh-CN"/>
        </w:rPr>
      </w:r>
    </w:p>
    <w:p>
      <w:pPr>
        <w:pStyle w:val="749"/>
        <w:pBdr/>
        <w:spacing w:line="480" w:lineRule="auto"/>
        <w:ind w:firstLine="452"/>
        <w:rPr>
          <w:rFonts w:hint="eastAsia" w:ascii="HarmonyOS Sans SC" w:hAnsi="HarmonyOS Sans SC" w:eastAsia="HarmonyOS Sans SC" w:cs="HarmonyOS Sans SC"/>
          <w:i/>
          <w:iCs/>
          <w:sz w:val="21"/>
          <w:szCs w:val="21"/>
          <w:u w:val="single"/>
          <w:lang w:val="en-US" w:eastAsia="zh-CN"/>
        </w:rPr>
      </w:pPr>
      <w:r>
        <w:rPr>
          <w:rFonts w:hint="eastAsia" w:ascii="HarmonyOS Sans SC" w:hAnsi="HarmonyOS Sans SC" w:eastAsia="HarmonyOS Sans SC" w:cs="HarmonyOS Sans SC"/>
          <w:i/>
          <w:iCs/>
          <w:sz w:val="21"/>
          <w:szCs w:val="21"/>
          <w:u w:val="single"/>
          <w:lang w:val="en-US" w:eastAsia="zh-CN"/>
        </w:rPr>
        <w:t xml:space="preserve">2:Zhang &amp; Hyland 2023-Student engagement with peer feedback in L2 writing_ Insights from reflective journaling and revising practices</w:t>
      </w:r>
      <w:r>
        <w:rPr>
          <w:rFonts w:hint="eastAsia" w:ascii="HarmonyOS Sans SC" w:hAnsi="HarmonyOS Sans SC" w:eastAsia="HarmonyOS Sans SC" w:cs="HarmonyOS Sans SC"/>
          <w:i/>
          <w:iCs/>
          <w:sz w:val="21"/>
          <w:szCs w:val="21"/>
          <w:u w:val="single"/>
          <w:lang w:val="en-US" w:eastAsia="zh-CN"/>
        </w:rPr>
      </w:r>
      <w:r>
        <w:rPr>
          <w:rFonts w:hint="eastAsia" w:ascii="HarmonyOS Sans SC" w:hAnsi="HarmonyOS Sans SC" w:eastAsia="HarmonyOS Sans SC" w:cs="HarmonyOS Sans SC"/>
          <w:i/>
          <w:iCs/>
          <w:sz w:val="21"/>
          <w:szCs w:val="21"/>
          <w:u w:val="single"/>
          <w:lang w:val="en-US" w:eastAsia="zh-CN"/>
        </w:rPr>
      </w:r>
    </w:p>
    <w:p>
      <w:pPr>
        <w:pStyle w:val="749"/>
        <w:pBdr/>
        <w:spacing w:line="480" w:lineRule="auto"/>
        <w:ind w:firstLine="226" w:left="226"/>
        <w:rPr>
          <w:rFonts w:hint="eastAsia" w:ascii="HarmonyOS Sans SC" w:hAnsi="HarmonyOS Sans SC" w:eastAsia="HarmonyOS Sans SC" w:cs="HarmonyOS Sans SC"/>
          <w:i/>
          <w:iCs/>
          <w:sz w:val="21"/>
          <w:szCs w:val="21"/>
          <w:u w:val="single"/>
          <w:lang w:val="en-US" w:eastAsia="zh-CN"/>
        </w:rPr>
      </w:pPr>
      <w:r>
        <w:rPr>
          <w:rFonts w:hint="eastAsia" w:ascii="HarmonyOS Sans SC" w:hAnsi="HarmonyOS Sans SC" w:eastAsia="HarmonyOS Sans SC" w:cs="HarmonyOS Sans SC"/>
          <w:i/>
          <w:iCs/>
          <w:sz w:val="21"/>
          <w:szCs w:val="21"/>
          <w:u w:val="single"/>
          <w:lang w:val="en-US" w:eastAsia="zh-CN"/>
        </w:rPr>
        <w:t xml:space="preserve">3:Yu, etc. 2020.Investigating what feedback practices contribute to students’riting motivation and engagement in Chinese EFL context_ A large scale study</w:t>
      </w:r>
      <w:r>
        <w:rPr>
          <w:rFonts w:hint="eastAsia" w:ascii="HarmonyOS Sans SC" w:hAnsi="HarmonyOS Sans SC" w:eastAsia="HarmonyOS Sans SC" w:cs="HarmonyOS Sans SC"/>
          <w:i/>
          <w:iCs/>
          <w:sz w:val="21"/>
          <w:szCs w:val="21"/>
          <w:u w:val="single"/>
          <w:lang w:val="en-US" w:eastAsia="zh-CN"/>
        </w:rPr>
      </w:r>
      <w:r>
        <w:rPr>
          <w:rFonts w:hint="eastAsia" w:ascii="HarmonyOS Sans SC" w:hAnsi="HarmonyOS Sans SC" w:eastAsia="HarmonyOS Sans SC" w:cs="HarmonyOS Sans SC"/>
          <w:i/>
          <w:iCs/>
          <w:sz w:val="21"/>
          <w:szCs w:val="21"/>
          <w:u w:val="single"/>
          <w:lang w:val="en-US" w:eastAsia="zh-CN"/>
        </w:rPr>
      </w:r>
    </w:p>
    <w:p>
      <w:pPr>
        <w:pStyle w:val="749"/>
        <w:pBdr/>
        <w:spacing w:line="480" w:lineRule="auto"/>
        <w:ind w:firstLine="452"/>
        <w:rPr>
          <w:rFonts w:hint="eastAsia" w:ascii="HarmonyOS Sans SC" w:hAnsi="HarmonyOS Sans SC" w:eastAsia="HarmonyOS Sans SC" w:cs="HarmonyOS Sans SC"/>
          <w:i/>
          <w:iCs/>
          <w:sz w:val="21"/>
          <w:szCs w:val="21"/>
          <w:u w:val="single"/>
          <w:lang w:val="en-US" w:eastAsia="zh-CN"/>
        </w:rPr>
      </w:pPr>
      <w:r>
        <w:rPr>
          <w:rFonts w:hint="eastAsia" w:ascii="HarmonyOS Sans SC" w:hAnsi="HarmonyOS Sans SC" w:eastAsia="HarmonyOS Sans SC" w:cs="HarmonyOS Sans SC"/>
          <w:i/>
          <w:iCs/>
          <w:sz w:val="21"/>
          <w:szCs w:val="21"/>
          <w:u w:val="single"/>
          <w:lang w:val="en-US" w:eastAsia="zh-CN"/>
        </w:rPr>
        <w:t xml:space="preserve">4:Toward a Motivation-Regulated Learner Engagement WCF Model of L2 Writing Performance</w:t>
      </w:r>
      <w:r>
        <w:rPr>
          <w:rFonts w:hint="eastAsia" w:ascii="HarmonyOS Sans SC" w:hAnsi="HarmonyOS Sans SC" w:eastAsia="HarmonyOS Sans SC" w:cs="HarmonyOS Sans SC"/>
          <w:i/>
          <w:iCs/>
          <w:sz w:val="21"/>
          <w:szCs w:val="21"/>
          <w:u w:val="single"/>
          <w:lang w:val="en-US" w:eastAsia="zh-CN"/>
        </w:rPr>
      </w:r>
      <w:r>
        <w:rPr>
          <w:rFonts w:hint="eastAsia" w:ascii="HarmonyOS Sans SC" w:hAnsi="HarmonyOS Sans SC" w:eastAsia="HarmonyOS Sans SC" w:cs="HarmonyOS Sans SC"/>
          <w:i/>
          <w:iCs/>
          <w:sz w:val="21"/>
          <w:szCs w:val="21"/>
          <w:u w:val="single"/>
          <w:lang w:val="en-US" w:eastAsia="zh-CN"/>
        </w:rPr>
      </w:r>
    </w:p>
    <w:p>
      <w:pPr>
        <w:pStyle w:val="749"/>
        <w:pBdr/>
        <w:spacing w:line="480" w:lineRule="auto"/>
        <w:ind w:firstLine="452"/>
        <w:rPr>
          <w:rFonts w:hint="eastAsia" w:ascii="HarmonyOS Sans SC" w:hAnsi="HarmonyOS Sans SC" w:eastAsia="HarmonyOS Sans SC" w:cs="HarmonyOS Sans SC"/>
          <w:i/>
          <w:iCs/>
          <w:sz w:val="21"/>
          <w:szCs w:val="21"/>
          <w:u w:val="single"/>
          <w:lang w:val="en-US" w:eastAsia="zh-CN"/>
        </w:rPr>
      </w:pPr>
      <w:r>
        <w:rPr>
          <w:rFonts w:hint="eastAsia" w:ascii="HarmonyOS Sans SC" w:hAnsi="HarmonyOS Sans SC" w:eastAsia="HarmonyOS Sans SC" w:cs="HarmonyOS Sans SC"/>
          <w:i/>
          <w:iCs/>
          <w:sz w:val="21"/>
          <w:szCs w:val="21"/>
          <w:u w:val="single"/>
          <w:lang w:val="en-US" w:eastAsia="zh-CN"/>
        </w:rPr>
        <w:t xml:space="preserve">5:A_comparative_study_of_the_engagement_with_written</w:t>
      </w:r>
      <w:r>
        <w:rPr>
          <w:rFonts w:hint="eastAsia" w:ascii="HarmonyOS Sans SC" w:hAnsi="HarmonyOS Sans SC" w:eastAsia="HarmonyOS Sans SC" w:cs="HarmonyOS Sans SC"/>
          <w:i/>
          <w:iCs/>
          <w:sz w:val="21"/>
          <w:szCs w:val="21"/>
          <w:u w:val="single"/>
          <w:lang w:val="en-US" w:eastAsia="zh-CN"/>
        </w:rPr>
      </w:r>
      <w:r>
        <w:rPr>
          <w:rFonts w:hint="eastAsia" w:ascii="HarmonyOS Sans SC" w:hAnsi="HarmonyOS Sans SC" w:eastAsia="HarmonyOS Sans SC" w:cs="HarmonyOS Sans SC"/>
          <w:i/>
          <w:iCs/>
          <w:sz w:val="21"/>
          <w:szCs w:val="21"/>
          <w:u w:val="single"/>
          <w:lang w:val="en-US" w:eastAsia="zh-CN"/>
        </w:rPr>
      </w:r>
    </w:p>
    <w:p>
      <w:pPr>
        <w:pStyle w:val="749"/>
        <w:pBdr/>
        <w:spacing w:line="480" w:lineRule="auto"/>
        <w:ind w:firstLine="452"/>
        <w:rPr>
          <w:rFonts w:ascii="HarmonyOS Sans SC" w:hAnsi="HarmonyOS Sans SC" w:eastAsia="HarmonyOS Sans SC" w:cs="HarmonyOS Sans SC"/>
          <w:i/>
          <w:iCs/>
          <w:sz w:val="21"/>
          <w:szCs w:val="21"/>
          <w:u w:val="single"/>
          <w:lang w:val="en-US" w:eastAsia="zh-CN"/>
        </w:rPr>
      </w:pPr>
      <w:r>
        <w:rPr>
          <w:rFonts w:hint="eastAsia" w:ascii="HarmonyOS Sans SC" w:hAnsi="HarmonyOS Sans SC" w:eastAsia="HarmonyOS Sans SC" w:cs="HarmonyOS Sans SC"/>
          <w:i/>
          <w:iCs/>
          <w:sz w:val="21"/>
          <w:szCs w:val="21"/>
          <w:u w:val="single"/>
          <w:lang w:val="en-US" w:eastAsia="zh-CN"/>
        </w:rPr>
        <w:t xml:space="preserve">6:Cheng, etc. 2023-Understanding student engagement with teacher and peer feedback in L2 writing</w:t>
      </w:r>
      <w:r>
        <w:rPr>
          <w:rFonts w:ascii="HarmonyOS Sans SC" w:hAnsi="HarmonyOS Sans SC" w:eastAsia="HarmonyOS Sans SC" w:cs="HarmonyOS Sans SC"/>
          <w:i/>
          <w:iCs/>
          <w:sz w:val="21"/>
          <w:szCs w:val="21"/>
          <w:u w:val="single"/>
          <w:lang w:val="en-US" w:eastAsia="zh-CN"/>
        </w:rPr>
      </w:r>
      <w:r>
        <w:rPr>
          <w:rFonts w:ascii="HarmonyOS Sans SC" w:hAnsi="HarmonyOS Sans SC" w:eastAsia="HarmonyOS Sans SC" w:cs="HarmonyOS Sans SC"/>
          <w:i/>
          <w:iCs/>
          <w:sz w:val="21"/>
          <w:szCs w:val="21"/>
          <w:u w:val="single"/>
          <w:lang w:val="en-US" w:eastAsia="zh-CN"/>
        </w:rPr>
      </w:r>
    </w:p>
    <w:p>
      <w:pPr>
        <w:pStyle w:val="749"/>
        <w:pBdr/>
        <w:spacing w:line="480" w:lineRule="auto"/>
        <w:ind w:firstLine="452"/>
        <w:rPr>
          <w:rFonts w:ascii="HarmonyOS Sans SC" w:hAnsi="HarmonyOS Sans SC" w:eastAsia="HarmonyOS Sans SC" w:cs="HarmonyOS Sans SC"/>
          <w:i/>
          <w:iCs/>
          <w:sz w:val="21"/>
          <w:szCs w:val="21"/>
          <w:u w:val="single"/>
          <w:lang w:val="en-US" w:eastAsia="zh-CN"/>
        </w:rPr>
      </w:pPr>
      <w:r>
        <w:rPr>
          <w:rFonts w:hint="eastAsia" w:ascii="HarmonyOS Sans SC" w:hAnsi="HarmonyOS Sans SC" w:eastAsia="HarmonyOS Sans SC" w:cs="HarmonyOS Sans SC"/>
          <w:i/>
          <w:iCs/>
          <w:sz w:val="21"/>
          <w:szCs w:val="21"/>
          <w:u w:val="single"/>
          <w:lang w:val="en-US" w:eastAsia="zh-CN"/>
        </w:rPr>
        <w:t xml:space="preserve">7:111 AWE Learner Engagement with Written Corrective Feedback</w:t>
      </w:r>
      <w:r>
        <w:rPr>
          <w:rFonts w:ascii="HarmonyOS Sans SC" w:hAnsi="HarmonyOS Sans SC" w:eastAsia="HarmonyOS Sans SC" w:cs="HarmonyOS Sans SC"/>
          <w:i/>
          <w:iCs/>
          <w:sz w:val="21"/>
          <w:szCs w:val="21"/>
          <w:u w:val="single"/>
          <w:lang w:val="en-US" w:eastAsia="zh-CN"/>
        </w:rPr>
      </w:r>
      <w:r>
        <w:rPr>
          <w:rFonts w:ascii="HarmonyOS Sans SC" w:hAnsi="HarmonyOS Sans SC" w:eastAsia="HarmonyOS Sans SC" w:cs="HarmonyOS Sans SC"/>
          <w:i/>
          <w:iCs/>
          <w:sz w:val="21"/>
          <w:szCs w:val="21"/>
          <w:u w:val="single"/>
          <w:lang w:val="en-US" w:eastAsia="zh-CN"/>
        </w:rPr>
      </w:r>
    </w:p>
    <w:p>
      <w:pPr>
        <w:pStyle w:val="750"/>
        <w:pBdr/>
        <w:bidi w:val="false"/>
        <w:spacing/>
        <w:ind/>
        <w:rPr>
          <w:rFonts w:hint="eastAsia"/>
          <w:lang w:val="en-US" w:eastAsia="zh-CN"/>
        </w:rPr>
      </w:pPr>
      <w:r>
        <w:rPr>
          <w:rFonts w:hint="eastAsia"/>
          <w:lang w:val="en-US" w:eastAsia="zh-CN"/>
        </w:rPr>
        <w:t xml:space="preserve">Literature Review</w:t>
      </w:r>
      <w:r>
        <w:rPr>
          <w:rFonts w:hint="eastAsia"/>
          <w:lang w:val="en-US" w:eastAsia="zh-CN"/>
        </w:rPr>
      </w:r>
      <w:r>
        <w:rPr>
          <w:rFonts w:hint="eastAsia"/>
          <w:lang w:val="en-US" w:eastAsia="zh-CN"/>
        </w:rPr>
      </w:r>
    </w:p>
    <w:p>
      <w:pPr>
        <w:pStyle w:val="751"/>
        <w:pBdr/>
        <w:bidi w:val="false"/>
        <w:spacing/>
        <w:ind/>
        <w:rPr>
          <w:lang w:val="en-US" w:eastAsia="zh-CN"/>
        </w:rPr>
      </w:pPr>
      <w:r>
        <w:rPr>
          <w:lang w:val="en-US" w:eastAsia="zh-CN"/>
        </w:rPr>
        <w:t xml:space="preserve">Theme Classification</w:t>
      </w:r>
      <w:r>
        <w:rPr>
          <w:lang w:val="en-US" w:eastAsia="zh-CN"/>
        </w:rPr>
      </w:r>
      <w:r>
        <w:rPr>
          <w:lang w:val="en-US" w:eastAsia="zh-CN"/>
        </w:rPr>
      </w:r>
    </w:p>
    <w:p>
      <w:pPr>
        <w:pStyle w:val="749"/>
        <w:pBdr/>
        <w:spacing w:line="480" w:lineRule="auto"/>
        <w:ind w:firstLine="452"/>
        <w:rPr>
          <w:rFonts w:ascii="HarmonyOS Sans SC" w:hAnsi="HarmonyOS Sans SC" w:eastAsia="HarmonyOS Sans SC" w:cs="HarmonyOS Sans SC"/>
          <w:i/>
          <w:iCs/>
          <w:sz w:val="21"/>
          <w:szCs w:val="21"/>
          <w:u w:val="single"/>
          <w:lang w:val="en-US" w:eastAsia="zh-CN"/>
        </w:rPr>
      </w:pPr>
      <w:r>
        <w:rPr>
          <w:rFonts w:hint="eastAsia" w:ascii="HarmonyOS Sans SC" w:hAnsi="HarmonyOS Sans SC" w:eastAsia="HarmonyOS Sans SC" w:cs="HarmonyOS Sans SC"/>
          <w:i/>
          <w:iCs/>
          <w:sz w:val="21"/>
          <w:szCs w:val="21"/>
          <w:u w:val="single"/>
          <w:lang w:val="en-US" w:eastAsia="zh-CN"/>
        </w:rPr>
        <w:t xml:space="preserve">I divide each part into three pieces:the key study, the main findings and the method and this will make this article more logical and more easily for us to read.</w:t>
      </w:r>
      <w:r>
        <w:rPr>
          <w:rFonts w:ascii="HarmonyOS Sans SC" w:hAnsi="HarmonyOS Sans SC" w:eastAsia="HarmonyOS Sans SC" w:cs="HarmonyOS Sans SC"/>
          <w:i/>
          <w:iCs/>
          <w:sz w:val="21"/>
          <w:szCs w:val="21"/>
          <w:u w:val="single"/>
          <w:lang w:val="en-US" w:eastAsia="zh-CN"/>
        </w:rPr>
      </w:r>
      <w:r>
        <w:rPr>
          <w:rFonts w:ascii="HarmonyOS Sans SC" w:hAnsi="HarmonyOS Sans SC" w:eastAsia="HarmonyOS Sans SC" w:cs="HarmonyOS Sans SC"/>
          <w:i/>
          <w:iCs/>
          <w:sz w:val="21"/>
          <w:szCs w:val="21"/>
          <w:u w:val="single"/>
          <w:lang w:val="en-US" w:eastAsia="zh-CN"/>
        </w:rPr>
      </w:r>
    </w:p>
    <w:p>
      <w:pPr>
        <w:pStyle w:val="752"/>
        <w:pBdr/>
        <w:bidi w:val="false"/>
        <w:spacing/>
        <w:ind/>
        <w:rPr>
          <w:lang w:val="en-US" w:eastAsia="zh-CN"/>
        </w:rPr>
      </w:pPr>
      <w:r>
        <w:rPr>
          <w:lang w:val="en-US" w:eastAsia="zh-CN"/>
        </w:rPr>
        <w:t xml:space="preserve">a. Learner Engagement with Feedback</w:t>
      </w:r>
      <w:r>
        <w:rPr>
          <w:lang w:val="en-US" w:eastAsia="zh-CN"/>
        </w:rPr>
      </w:r>
      <w:r>
        <w:rPr>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Key Study: Cheng</w:t>
      </w:r>
      <w:r>
        <w:rPr>
          <w:rFonts w:hint="eastAsia" w:ascii="HarmonyOS Sans SC" w:hAnsi="HarmonyOS Sans SC" w:eastAsia="HarmonyOS Sans SC" w:cs="HarmonyOS Sans SC"/>
          <w:sz w:val="21"/>
          <w:szCs w:val="21"/>
          <w:lang w:val="en-US" w:eastAsia="zh-CN"/>
        </w:rPr>
        <w:t xml:space="preserve"> </w:t>
      </w:r>
      <w:r>
        <w:rPr>
          <w:rFonts w:ascii="HarmonyOS Sans SC" w:hAnsi="HarmonyOS Sans SC" w:eastAsia="HarmonyOS Sans SC" w:cs="HarmonyOS Sans SC"/>
          <w:sz w:val="21"/>
          <w:szCs w:val="21"/>
          <w:lang w:val="en-US" w:eastAsia="zh-CN"/>
        </w:rPr>
        <w:t xml:space="preserve">et</w:t>
      </w:r>
      <w:r>
        <w:rPr>
          <w:rFonts w:hint="eastAsia" w:ascii="HarmonyOS Sans SC" w:hAnsi="HarmonyOS Sans SC" w:eastAsia="HarmonyOS Sans SC" w:cs="HarmonyOS Sans SC"/>
          <w:sz w:val="21"/>
          <w:szCs w:val="21"/>
          <w:lang w:val="en-US" w:eastAsia="zh-CN"/>
        </w:rPr>
        <w:t xml:space="preserve"> </w:t>
      </w:r>
      <w:r>
        <w:rPr>
          <w:rFonts w:ascii="HarmonyOS Sans SC" w:hAnsi="HarmonyOS Sans SC" w:eastAsia="HarmonyOS Sans SC" w:cs="HarmonyOS Sans SC"/>
          <w:sz w:val="21"/>
          <w:szCs w:val="21"/>
          <w:lang w:val="en-US" w:eastAsia="zh-CN"/>
        </w:rPr>
        <w:t xml:space="preserve">al. (2023) examined Chinese tertiary EFL learners' engagement with teacher and peer feedback in their writing.</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Main Findings: Learners showed more complex engagement with peer feedback than with teacher feedback, with inconsistencies in affective, behavioral, and cognitive dimensions.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Method: Mixed methods, including questionnaires, interviews, and writing samples analysis.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52"/>
        <w:pBdr/>
        <w:bidi w:val="false"/>
        <w:spacing/>
        <w:ind/>
        <w:rPr>
          <w:rFonts w:ascii="HarmonyOS Sans SC" w:hAnsi="HarmonyOS Sans SC" w:eastAsia="HarmonyOS Sans SC" w:cs="HarmonyOS Sans SC"/>
          <w:szCs w:val="21"/>
          <w:lang w:val="en-US" w:eastAsia="zh-CN"/>
        </w:rPr>
      </w:pPr>
      <w:r>
        <w:rPr>
          <w:lang w:val="en-US" w:eastAsia="zh-CN"/>
        </w:rPr>
        <w:t xml:space="preserve">b. Feedback Practices and Student Motivation</w:t>
      </w:r>
      <w:r>
        <w:rPr>
          <w:rFonts w:ascii="HarmonyOS Sans SC" w:hAnsi="HarmonyOS Sans SC" w:eastAsia="HarmonyOS Sans SC" w:cs="HarmonyOS Sans SC"/>
          <w:szCs w:val="21"/>
          <w:lang w:val="en-US" w:eastAsia="zh-CN"/>
        </w:rPr>
      </w:r>
      <w:r>
        <w:rPr>
          <w:rFonts w:ascii="HarmonyOS Sans SC" w:hAnsi="HarmonyOS Sans SC" w:eastAsia="HarmonyOS Sans SC" w:cs="HarmonyOS Sans SC"/>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Key Study: Yu et al. (2020) investigated the impact of various L2 writing feedback strategies on student writing motivation and engagement in Chinese EFL contexts.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Main Findings: Expressive feedback was found to be the most frequently used and effective in boosting student motivation and engagement.</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Method: Large-scale survey with a comprehensive L2 writing feedback scale.</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52"/>
        <w:pBdr/>
        <w:bidi w:val="false"/>
        <w:spacing/>
        <w:ind/>
        <w:rPr>
          <w:rFonts w:ascii="HarmonyOS Sans SC" w:hAnsi="HarmonyOS Sans SC" w:eastAsia="HarmonyOS Sans SC" w:cs="HarmonyOS Sans SC"/>
          <w:szCs w:val="21"/>
          <w:lang w:val="en-US" w:eastAsia="zh-CN"/>
        </w:rPr>
      </w:pPr>
      <w:r>
        <w:rPr>
          <w:lang w:val="en-US" w:eastAsia="zh-CN"/>
        </w:rPr>
        <w:t xml:space="preserve">c. Self-Regulation and Writing Strategies</w:t>
      </w:r>
      <w:r>
        <w:rPr>
          <w:rFonts w:ascii="HarmonyOS Sans SC" w:hAnsi="HarmonyOS Sans SC" w:eastAsia="HarmonyOS Sans SC" w:cs="HarmonyOS Sans SC"/>
          <w:szCs w:val="21"/>
          <w:lang w:val="en-US" w:eastAsia="zh-CN"/>
        </w:rPr>
      </w:r>
      <w:r>
        <w:rPr>
          <w:rFonts w:ascii="HarmonyOS Sans SC" w:hAnsi="HarmonyOS Sans SC" w:eastAsia="HarmonyOS Sans SC" w:cs="HarmonyOS Sans SC"/>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Key Study: Tsao et al. (2021) explored the relationship between motivation, learner engagement with written corrective feedback (WCF), and writing performance.</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Main Findings: Intrinsic and extrinsic motivations significantly influenced learner engagement with WCF, which in turn affected writing performance.</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Method: Structural equation modeling with two independent samples.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51"/>
        <w:pBdr/>
        <w:bidi w:val="false"/>
        <w:spacing/>
        <w:ind/>
        <w:rPr>
          <w:lang w:val="en-US" w:eastAsia="zh-CN"/>
        </w:rPr>
      </w:pPr>
      <w:r>
        <w:rPr>
          <w:lang w:val="en-US" w:eastAsia="zh-CN"/>
        </w:rPr>
        <w:t xml:space="preserve">Method Classification</w:t>
      </w:r>
      <w:r>
        <w:rPr>
          <w:lang w:val="en-US" w:eastAsia="zh-CN"/>
        </w:rPr>
      </w:r>
      <w:r>
        <w:rPr>
          <w:lang w:val="en-US" w:eastAsia="zh-CN"/>
        </w:rPr>
      </w:r>
    </w:p>
    <w:p>
      <w:pPr>
        <w:pStyle w:val="749"/>
        <w:pBdr/>
        <w:spacing w:line="480" w:lineRule="auto"/>
        <w:ind w:firstLine="452"/>
        <w:rPr>
          <w:rFonts w:ascii="HarmonyOS Sans SC" w:hAnsi="HarmonyOS Sans SC" w:eastAsia="HarmonyOS Sans SC" w:cs="HarmonyOS Sans SC"/>
          <w:i/>
          <w:iCs/>
          <w:sz w:val="21"/>
          <w:szCs w:val="21"/>
          <w:u w:val="single"/>
          <w:lang w:val="en-US" w:eastAsia="zh-CN"/>
        </w:rPr>
      </w:pPr>
      <w:r>
        <w:rPr>
          <w:rFonts w:hint="eastAsia" w:ascii="HarmonyOS Sans SC" w:hAnsi="HarmonyOS Sans SC" w:eastAsia="HarmonyOS Sans SC" w:cs="HarmonyOS Sans SC"/>
          <w:i/>
          <w:iCs/>
          <w:sz w:val="21"/>
          <w:szCs w:val="21"/>
          <w:u w:val="single"/>
          <w:lang w:val="en-US" w:eastAsia="zh-CN"/>
        </w:rPr>
        <w:t xml:space="preserve">And during this part,I also divide each part into three pieces:the examples, the strengths and the weakness and i hope this will enhance our future study of it.</w:t>
      </w:r>
      <w:r>
        <w:rPr>
          <w:rFonts w:ascii="HarmonyOS Sans SC" w:hAnsi="HarmonyOS Sans SC" w:eastAsia="HarmonyOS Sans SC" w:cs="HarmonyOS Sans SC"/>
          <w:i/>
          <w:iCs/>
          <w:sz w:val="21"/>
          <w:szCs w:val="21"/>
          <w:u w:val="single"/>
          <w:lang w:val="en-US" w:eastAsia="zh-CN"/>
        </w:rPr>
      </w:r>
      <w:r>
        <w:rPr>
          <w:rFonts w:ascii="HarmonyOS Sans SC" w:hAnsi="HarmonyOS Sans SC" w:eastAsia="HarmonyOS Sans SC" w:cs="HarmonyOS Sans SC"/>
          <w:i/>
          <w:iCs/>
          <w:sz w:val="21"/>
          <w:szCs w:val="21"/>
          <w:u w:val="single"/>
          <w:lang w:val="en-US" w:eastAsia="zh-CN"/>
        </w:rPr>
      </w:r>
    </w:p>
    <w:p>
      <w:pPr>
        <w:pStyle w:val="749"/>
        <w:pBdr/>
        <w:spacing/>
        <w:ind/>
        <w:rPr>
          <w:lang w:val="en-US" w:eastAsia="zh-CN"/>
        </w:rPr>
      </w:pPr>
      <w:r>
        <w:rPr>
          <w:lang w:val="en-US" w:eastAsia="zh-CN"/>
        </w:rPr>
      </w:r>
      <w:r>
        <w:rPr>
          <w:lang w:val="en-US" w:eastAsia="zh-CN"/>
        </w:rPr>
      </w:r>
    </w:p>
    <w:p>
      <w:pPr>
        <w:pStyle w:val="752"/>
        <w:pBdr/>
        <w:bidi w:val="false"/>
        <w:spacing/>
        <w:ind/>
        <w:rPr>
          <w:rFonts w:ascii="HarmonyOS Sans SC" w:hAnsi="HarmonyOS Sans SC" w:eastAsia="HarmonyOS Sans SC" w:cs="HarmonyOS Sans SC"/>
          <w:szCs w:val="21"/>
          <w:lang w:val="en-US" w:eastAsia="zh-CN"/>
        </w:rPr>
      </w:pPr>
      <w:r>
        <w:rPr>
          <w:lang w:val="en-US" w:eastAsia="zh-CN"/>
        </w:rPr>
        <w:t xml:space="preserve">a. Qualitative Studies</w:t>
      </w:r>
      <w:r>
        <w:rPr>
          <w:rFonts w:ascii="HarmonyOS Sans SC" w:hAnsi="HarmonyOS Sans SC" w:eastAsia="HarmonyOS Sans SC" w:cs="HarmonyOS Sans SC"/>
          <w:szCs w:val="21"/>
          <w:lang w:val="en-US" w:eastAsia="zh-CN"/>
        </w:rPr>
      </w:r>
      <w:r>
        <w:rPr>
          <w:rFonts w:ascii="HarmonyOS Sans SC" w:hAnsi="HarmonyOS Sans SC" w:eastAsia="HarmonyOS Sans SC" w:cs="HarmonyOS Sans SC"/>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Examples: Zhang &amp; Hyland (2023) and Cheng et al. (2023) used qualitative methods like interviews and reflective journals to understand student engagement.</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Strengths: Provide in-depth insights into individual experiences and perspectives.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Weaknesses: Limited generalizability due to small sample sizes.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52"/>
        <w:pBdr/>
        <w:bidi w:val="false"/>
        <w:spacing/>
        <w:ind/>
        <w:rPr>
          <w:rFonts w:ascii="HarmonyOS Sans SC" w:hAnsi="HarmonyOS Sans SC" w:eastAsia="HarmonyOS Sans SC" w:cs="HarmonyOS Sans SC"/>
          <w:szCs w:val="21"/>
          <w:lang w:val="en-US" w:eastAsia="zh-CN"/>
        </w:rPr>
      </w:pPr>
      <w:r>
        <w:rPr>
          <w:lang w:val="en-US" w:eastAsia="zh-CN"/>
        </w:rPr>
        <w:t xml:space="preserve">b. Quantitative Studies</w:t>
      </w:r>
      <w:r>
        <w:rPr>
          <w:rFonts w:ascii="HarmonyOS Sans SC" w:hAnsi="HarmonyOS Sans SC" w:eastAsia="HarmonyOS Sans SC" w:cs="HarmonyOS Sans SC"/>
          <w:szCs w:val="21"/>
          <w:lang w:val="en-US" w:eastAsia="zh-CN"/>
        </w:rPr>
      </w:r>
      <w:r>
        <w:rPr>
          <w:rFonts w:ascii="HarmonyOS Sans SC" w:hAnsi="HarmonyOS Sans SC" w:eastAsia="HarmonyOS Sans SC" w:cs="HarmonyOS Sans SC"/>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Examples: Yu et al. (2020) and Tsao et al. (2021) employed surveys and structural equation modeling to analyze data.</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Strengths: Allow for broader generalizations and identification of patterns or trends.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Weaknesses: May not capture the nuance of individual experiences.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51"/>
        <w:pBdr/>
        <w:bidi w:val="false"/>
        <w:spacing/>
        <w:ind/>
        <w:rPr>
          <w:lang w:val="en-US" w:eastAsia="zh-CN"/>
        </w:rPr>
      </w:pPr>
      <w:r>
        <w:rPr>
          <w:lang w:val="en-US" w:eastAsia="zh-CN"/>
        </w:rPr>
        <w:t xml:space="preserve">Theoretical Frameworks</w:t>
      </w:r>
      <w:r>
        <w:rPr>
          <w:lang w:val="en-US" w:eastAsia="zh-CN"/>
        </w:rPr>
      </w:r>
      <w:r>
        <w:rPr>
          <w:lang w:val="en-US" w:eastAsia="zh-CN"/>
        </w:rPr>
      </w:r>
    </w:p>
    <w:p>
      <w:pPr>
        <w:pStyle w:val="752"/>
        <w:pBdr/>
        <w:bidi w:val="false"/>
        <w:spacing/>
        <w:ind/>
        <w:rPr>
          <w:lang w:val="en-US" w:eastAsia="zh-CN"/>
        </w:rPr>
      </w:pPr>
      <w:r>
        <w:rPr>
          <w:lang w:val="en-US" w:eastAsia="zh-CN"/>
        </w:rPr>
        <w:t xml:space="preserve">a. Self-Determination Theory (SDT)</w:t>
      </w:r>
      <w:r>
        <w:rPr>
          <w:lang w:val="en-US" w:eastAsia="zh-CN"/>
        </w:rPr>
      </w:r>
      <w:r>
        <w:rPr>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Key Study: Tsao et al. (2021) used SDT to understand the role of intrinsic and extrinsic motivations in learner engagement.</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Main Findings: Both types of motivation play a crucial role in influencing engagement and performance.</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Contribution: SDT provides a comprehensive framework for understanding motivational processes.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52"/>
        <w:pBdr/>
        <w:bidi w:val="false"/>
        <w:spacing/>
        <w:ind/>
        <w:rPr>
          <w:lang w:val="en-US" w:eastAsia="zh-CN"/>
        </w:rPr>
      </w:pPr>
      <w:r>
        <w:rPr>
          <w:lang w:val="en-US" w:eastAsia="zh-CN"/>
        </w:rPr>
        <w:t xml:space="preserve">b. Possible Selves Theory</w:t>
      </w:r>
      <w:r>
        <w:rPr>
          <w:lang w:val="en-US" w:eastAsia="zh-CN"/>
        </w:rPr>
      </w:r>
      <w:r>
        <w:rPr>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Key Study: Oyserman (2008) discussed how possible selves can serve as incentives for future behavior.</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Main Findings: Possible selves can motivate and guide behavior, influencing engagement and achievement.</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Contribution: Offers a future-oriented perspective on motivation and engagement.</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51"/>
        <w:pBdr/>
        <w:bidi w:val="false"/>
        <w:spacing/>
        <w:ind/>
        <w:rPr>
          <w:lang w:val="en-US" w:eastAsia="zh-CN"/>
        </w:rPr>
      </w:pPr>
      <w:r>
        <w:rPr>
          <w:lang w:val="en-US" w:eastAsia="zh-CN"/>
        </w:rPr>
        <w:t xml:space="preserve">Comparison and Analysis</w:t>
      </w:r>
      <w:r>
        <w:rPr>
          <w:lang w:val="en-US" w:eastAsia="zh-CN"/>
        </w:rPr>
      </w:r>
      <w:r>
        <w:rPr>
          <w:lang w:val="en-US" w:eastAsia="zh-CN"/>
        </w:rPr>
      </w:r>
    </w:p>
    <w:p>
      <w:pPr>
        <w:pStyle w:val="749"/>
        <w:pBdr/>
        <w:spacing w:line="480" w:lineRule="auto"/>
        <w:ind w:firstLine="452"/>
        <w:rPr>
          <w:rFonts w:ascii="HarmonyOS Sans SC" w:hAnsi="HarmonyOS Sans SC" w:eastAsia="HarmonyOS Sans SC" w:cs="HarmonyOS Sans SC"/>
          <w:i/>
          <w:iCs/>
          <w:sz w:val="21"/>
          <w:szCs w:val="21"/>
          <w:u w:val="single"/>
          <w:lang w:val="en-US" w:eastAsia="zh-CN"/>
        </w:rPr>
      </w:pPr>
      <w:r>
        <w:rPr>
          <w:rFonts w:hint="eastAsia" w:ascii="HarmonyOS Sans SC" w:hAnsi="HarmonyOS Sans SC" w:eastAsia="HarmonyOS Sans SC" w:cs="HarmonyOS Sans SC"/>
          <w:i/>
          <w:iCs/>
          <w:sz w:val="21"/>
          <w:szCs w:val="21"/>
          <w:u w:val="single"/>
          <w:lang w:val="en-US" w:eastAsia="zh-CN"/>
        </w:rPr>
        <w:t xml:space="preserve">I decide four aspects: the similarities,the differences,the strengths and the weaknesses in this part,and we can use these to do our next part of work--</w:t>
      </w:r>
      <w:r>
        <w:rPr>
          <w:rFonts w:hint="eastAsia" w:ascii="HarmonyOS Sans SC" w:hAnsi="HarmonyOS Sans SC" w:eastAsia="HarmonyOS Sans SC" w:cs="HarmonyOS Sans SC"/>
          <w:b/>
          <w:bCs/>
          <w:i/>
          <w:iCs/>
          <w:sz w:val="21"/>
          <w:szCs w:val="21"/>
          <w:u w:val="single"/>
          <w:lang w:val="en-US" w:eastAsia="zh-CN"/>
        </w:rPr>
        <w:t xml:space="preserve">the Analysis and Discussion part</w:t>
      </w:r>
      <w:r>
        <w:rPr>
          <w:rFonts w:hint="eastAsia" w:ascii="HarmonyOS Sans SC" w:hAnsi="HarmonyOS Sans SC" w:eastAsia="HarmonyOS Sans SC" w:cs="HarmonyOS Sans SC"/>
          <w:i/>
          <w:iCs/>
          <w:sz w:val="21"/>
          <w:szCs w:val="21"/>
          <w:u w:val="single"/>
          <w:lang w:val="en-US" w:eastAsia="zh-CN"/>
        </w:rPr>
        <w:t xml:space="preserve">.</w:t>
      </w:r>
      <w:r>
        <w:rPr>
          <w:rFonts w:ascii="HarmonyOS Sans SC" w:hAnsi="HarmonyOS Sans SC" w:eastAsia="HarmonyOS Sans SC" w:cs="HarmonyOS Sans SC"/>
          <w:i/>
          <w:iCs/>
          <w:sz w:val="21"/>
          <w:szCs w:val="21"/>
          <w:u w:val="single"/>
          <w:lang w:val="en-US" w:eastAsia="zh-CN"/>
        </w:rPr>
      </w:r>
      <w:r>
        <w:rPr>
          <w:rFonts w:ascii="HarmonyOS Sans SC" w:hAnsi="HarmonyOS Sans SC" w:eastAsia="HarmonyOS Sans SC" w:cs="HarmonyOS Sans SC"/>
          <w:i/>
          <w:iCs/>
          <w:sz w:val="21"/>
          <w:szCs w:val="21"/>
          <w:u w:val="single"/>
          <w:lang w:val="en-US" w:eastAsia="zh-CN"/>
        </w:rPr>
      </w:r>
    </w:p>
    <w:p>
      <w:pPr>
        <w:pStyle w:val="749"/>
        <w:pBdr/>
        <w:spacing/>
        <w:ind/>
        <w:rPr>
          <w:lang w:val="en-US" w:eastAsia="zh-CN"/>
        </w:rPr>
      </w:pPr>
      <w:r>
        <w:rPr>
          <w:lang w:val="en-US" w:eastAsia="zh-CN"/>
        </w:rPr>
      </w:r>
      <w:r>
        <w:rPr>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Similarities: All studies emphasize the importance of engagement in the feedback process and its impact on writing performance. They also highlight the role of motivation in mediating the relationship between feedback and writing outcomes.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Differences: The studies differ in their focus, with some concentra</w:t>
      </w:r>
      <w:r>
        <w:rPr>
          <w:rFonts w:ascii="HarmonyOS Sans SC" w:hAnsi="HarmonyOS Sans SC" w:eastAsia="HarmonyOS Sans SC" w:cs="HarmonyOS Sans SC"/>
          <w:sz w:val="21"/>
          <w:szCs w:val="21"/>
          <w:lang w:val="en-US" w:eastAsia="zh-CN"/>
        </w:rPr>
        <w:t xml:space="preserve">ting on peer feedback, others on teacher feedback, and some on the interplay between different types of feedback. The methodologies also vary, with qualitative studies providing detailed individual insights and quantitative studies offering broader trends.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Strengths: Each study contributes to a multifaceted understanding of student engagement with feedback. The combination of qualitative and quantitative methods allows for a comprehensive view of the phenomenon.</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Weaknesses: The reliance on self-report measures may introduce bias. Additionally, the context-specific nature of some studies may limit the transfer</w:t>
      </w:r>
      <w:r>
        <w:rPr>
          <w:rFonts w:hint="eastAsia" w:ascii="HarmonyOS Sans SC" w:hAnsi="HarmonyOS Sans SC" w:eastAsia="HarmonyOS Sans SC" w:cs="HarmonyOS Sans SC"/>
          <w:sz w:val="21"/>
          <w:szCs w:val="21"/>
          <w:lang w:val="en-US" w:eastAsia="zh-CN"/>
        </w:rPr>
        <w:t xml:space="preserve"> </w:t>
      </w:r>
      <w:r>
        <w:rPr>
          <w:rFonts w:ascii="HarmonyOS Sans SC" w:hAnsi="HarmonyOS Sans SC" w:eastAsia="HarmonyOS Sans SC" w:cs="HarmonyOS Sans SC"/>
          <w:sz w:val="21"/>
          <w:szCs w:val="21"/>
          <w:lang w:val="en-US" w:eastAsia="zh-CN"/>
        </w:rPr>
        <w:t xml:space="preserve">ability of findings.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Contributions: These studies collectively enhance our understanding of how feedback practices can be optimized to foster student engagement and improve writing performance.</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b/>
          <w:bCs/>
          <w:i/>
          <w:iCs/>
          <w:sz w:val="21"/>
          <w:szCs w:val="21"/>
          <w:lang w:val="en-US" w:eastAsia="zh-CN"/>
        </w:rPr>
      </w:pPr>
      <w:r>
        <w:rPr>
          <w:rFonts w:ascii="HarmonyOS Sans SC" w:hAnsi="HarmonyOS Sans SC" w:eastAsia="HarmonyOS Sans SC" w:cs="HarmonyOS Sans SC"/>
          <w:b/>
          <w:bCs/>
          <w:i/>
          <w:iCs/>
          <w:sz w:val="21"/>
          <w:szCs w:val="21"/>
          <w:lang w:val="en-US" w:eastAsia="zh-CN"/>
        </w:rPr>
        <w:t xml:space="preserve">In conclusion, the literature on student engagement with feedback in L2 writing is rich and diverse, offering valuable insights into how feedback can </w:t>
      </w:r>
      <w:r>
        <w:rPr>
          <w:rFonts w:ascii="HarmonyOS Sans SC" w:hAnsi="HarmonyOS Sans SC" w:eastAsia="HarmonyOS Sans SC" w:cs="HarmonyOS Sans SC"/>
          <w:b/>
          <w:bCs/>
          <w:i/>
          <w:iCs/>
          <w:sz w:val="21"/>
          <w:szCs w:val="21"/>
          <w:lang w:val="en-US" w:eastAsia="zh-CN"/>
        </w:rPr>
        <w:t xml:space="preserve">be effectively utilized to enhance student writing. The studies collectively suggest that a combination of motivational support, effective feedback strategies, and self-regulatory practices can significantly improve student engagement and writing outcomes.</w:t>
      </w:r>
      <w:r>
        <w:rPr>
          <w:rFonts w:ascii="HarmonyOS Sans SC" w:hAnsi="HarmonyOS Sans SC" w:eastAsia="HarmonyOS Sans SC" w:cs="HarmonyOS Sans SC"/>
          <w:b/>
          <w:bCs/>
          <w:i/>
          <w:iCs/>
          <w:sz w:val="21"/>
          <w:szCs w:val="21"/>
          <w:lang w:val="en-US" w:eastAsia="zh-CN"/>
        </w:rPr>
      </w:r>
      <w:r>
        <w:rPr>
          <w:rFonts w:ascii="HarmonyOS Sans SC" w:hAnsi="HarmonyOS Sans SC" w:eastAsia="HarmonyOS Sans SC" w:cs="HarmonyOS Sans SC"/>
          <w:b/>
          <w:bCs/>
          <w:i/>
          <w:iCs/>
          <w:sz w:val="21"/>
          <w:szCs w:val="21"/>
          <w:lang w:val="en-US" w:eastAsia="zh-CN"/>
        </w:rPr>
      </w:r>
    </w:p>
    <w:p>
      <w:pPr>
        <w:pStyle w:val="750"/>
        <w:pBdr/>
        <w:bidi w:val="false"/>
        <w:spacing/>
        <w:ind/>
        <w:rPr/>
      </w:pPr>
      <w:r>
        <w:t xml:space="preserve">Analysis and Discussion</w:t>
      </w:r>
      <w:r/>
    </w:p>
    <w:p>
      <w:pPr>
        <w:pStyle w:val="749"/>
        <w:pBdr/>
        <w:spacing w:line="480" w:lineRule="auto"/>
        <w:ind w:firstLine="452"/>
        <w:rPr>
          <w:rFonts w:ascii="HarmonyOS Sans SC" w:hAnsi="HarmonyOS Sans SC" w:eastAsia="HarmonyOS Sans SC" w:cs="HarmonyOS Sans SC"/>
          <w:sz w:val="21"/>
          <w:szCs w:val="21"/>
          <w:lang w:val="en-US" w:eastAsia="zh-CN"/>
        </w:rPr>
      </w:pPr>
      <w:r>
        <w:rPr>
          <w:rFonts w:hint="eastAsia"/>
          <w:lang w:val="en-US" w:eastAsia="zh-CN"/>
        </w:rPr>
        <w:t xml:space="preserve">   </w:t>
      </w:r>
      <w:r>
        <w:rPr>
          <w:rFonts w:hint="eastAsia" w:ascii="HarmonyOS Sans SC" w:hAnsi="HarmonyOS Sans SC" w:eastAsia="HarmonyOS Sans SC" w:cs="HarmonyOS Sans SC"/>
          <w:sz w:val="21"/>
          <w:szCs w:val="21"/>
          <w:lang w:val="en-US" w:eastAsia="zh-CN"/>
        </w:rPr>
        <w:t xml:space="preserve">Based on the seven papers I choose,</w:t>
      </w:r>
      <w:r>
        <w:rPr>
          <w:rFonts w:ascii="HarmonyOS Sans SC" w:hAnsi="HarmonyOS Sans SC" w:eastAsia="HarmonyOS Sans SC" w:cs="HarmonyOS Sans SC"/>
          <w:sz w:val="21"/>
          <w:szCs w:val="21"/>
          <w:lang w:val="en-US" w:eastAsia="zh-CN"/>
        </w:rPr>
        <w:t xml:space="preserve">here is a synthes</w:t>
      </w:r>
      <w:r>
        <w:rPr>
          <w:rFonts w:ascii="HarmonyOS Sans SC" w:hAnsi="HarmonyOS Sans SC" w:eastAsia="HarmonyOS Sans SC" w:cs="HarmonyOS Sans SC"/>
          <w:sz w:val="21"/>
          <w:szCs w:val="21"/>
          <w:lang w:val="en-US" w:eastAsia="zh-CN"/>
        </w:rPr>
        <w:t xml:space="preserve">is of the main findings and trends, the limitations of the studies, and potential areas for future research. Additionally, I will discuss the theoretical frameworks and research methods used in the literature, assessing their applicability and limitations.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51"/>
        <w:pBdr/>
        <w:bidi w:val="false"/>
        <w:spacing/>
        <w:ind/>
        <w:rPr>
          <w:lang w:val="en-US" w:eastAsia="zh-CN"/>
        </w:rPr>
      </w:pPr>
      <w:r>
        <w:rPr>
          <w:lang w:val="en-US" w:eastAsia="zh-CN"/>
        </w:rPr>
        <w:t xml:space="preserve">Main Findings and Trends</w:t>
      </w:r>
      <w:r>
        <w:rPr>
          <w:lang w:val="en-US" w:eastAsia="zh-CN"/>
        </w:rPr>
      </w:r>
      <w:r>
        <w:rPr>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Studies</w:t>
      </w:r>
      <w:r>
        <w:rPr>
          <w:rFonts w:ascii="HarmonyOS Sans SC" w:hAnsi="HarmonyOS Sans SC" w:eastAsia="HarmonyOS Sans SC" w:cs="HarmonyOS Sans SC"/>
          <w:sz w:val="21"/>
          <w:szCs w:val="21"/>
          <w:lang w:val="en-US" w:eastAsia="zh-CN"/>
        </w:rPr>
        <w:t xml:space="preserve"> indicate that learner engagement with feedback, particularly written corrective feedback (WCF), is a multi-dimensional construct that includes cognitive, affective, and behavioral components. Effective engagement is linked to improved writing performance.</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hint="eastAsia" w:ascii="HarmonyOS Sans SC" w:hAnsi="HarmonyOS Sans SC" w:eastAsia="HarmonyOS Sans SC" w:cs="HarmonyOS Sans SC"/>
          <w:sz w:val="21"/>
          <w:szCs w:val="21"/>
          <w:lang w:val="en-US" w:eastAsia="zh-CN"/>
        </w:rPr>
        <w:t xml:space="preserve">Also,</w:t>
      </w:r>
      <w:r>
        <w:rPr>
          <w:rFonts w:ascii="HarmonyOS Sans SC" w:hAnsi="HarmonyOS Sans SC" w:eastAsia="HarmonyOS Sans SC" w:cs="HarmonyOS Sans SC"/>
          <w:sz w:val="21"/>
          <w:szCs w:val="21"/>
          <w:lang w:val="en-US" w:eastAsia="zh-CN"/>
        </w:rPr>
        <w:t xml:space="preserve"> </w:t>
      </w:r>
      <w:r>
        <w:rPr>
          <w:rFonts w:hint="eastAsia" w:ascii="HarmonyOS Sans SC" w:hAnsi="HarmonyOS Sans SC" w:eastAsia="HarmonyOS Sans SC" w:cs="HarmonyOS Sans SC"/>
          <w:sz w:val="21"/>
          <w:szCs w:val="21"/>
          <w:lang w:val="en-US" w:eastAsia="zh-CN"/>
        </w:rPr>
        <w:t xml:space="preserve">e</w:t>
      </w:r>
      <w:r>
        <w:rPr>
          <w:rFonts w:ascii="HarmonyOS Sans SC" w:hAnsi="HarmonyOS Sans SC" w:eastAsia="HarmonyOS Sans SC" w:cs="HarmonyOS Sans SC"/>
          <w:sz w:val="21"/>
          <w:szCs w:val="21"/>
          <w:lang w:val="en-US" w:eastAsia="zh-CN"/>
        </w:rPr>
        <w:t xml:space="preserve">xpressive feedback and peer feedback seem to be more engaging for students compared to teacher feedback, possibly due to their interactive and immediate nature.</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hint="eastAsia" w:ascii="HarmonyOS Sans SC" w:hAnsi="HarmonyOS Sans SC" w:eastAsia="HarmonyOS Sans SC" w:cs="HarmonyOS Sans SC"/>
          <w:sz w:val="21"/>
          <w:szCs w:val="21"/>
          <w:lang w:val="en-US" w:eastAsia="zh-CN"/>
        </w:rPr>
        <w:t xml:space="preserve">What</w:t>
      </w:r>
      <w:r>
        <w:rPr>
          <w:rFonts w:ascii="HarmonyOS Sans SC" w:hAnsi="HarmonyOS Sans SC" w:eastAsia="HarmonyOS Sans SC" w:cs="HarmonyOS Sans SC"/>
          <w:sz w:val="21"/>
          <w:szCs w:val="21"/>
          <w:lang w:val="en-US" w:eastAsia="zh-CN"/>
        </w:rPr>
        <w:t xml:space="preserve">’</w:t>
      </w:r>
      <w:r>
        <w:rPr>
          <w:rFonts w:hint="eastAsia" w:ascii="HarmonyOS Sans SC" w:hAnsi="HarmonyOS Sans SC" w:eastAsia="HarmonyOS Sans SC" w:cs="HarmonyOS Sans SC"/>
          <w:sz w:val="21"/>
          <w:szCs w:val="21"/>
          <w:lang w:val="en-US" w:eastAsia="zh-CN"/>
        </w:rPr>
        <w:t xml:space="preserve">s more,i</w:t>
      </w:r>
      <w:r>
        <w:rPr>
          <w:rFonts w:ascii="HarmonyOS Sans SC" w:hAnsi="HarmonyOS Sans SC" w:eastAsia="HarmonyOS Sans SC" w:cs="HarmonyOS Sans SC"/>
          <w:sz w:val="21"/>
          <w:szCs w:val="21"/>
          <w:lang w:val="en-US" w:eastAsia="zh-CN"/>
        </w:rPr>
        <w:t xml:space="preserve">ntrinsic and extrinsic motivations are found to be influential in driving learner engagement with WCF. Ideal L2 self-image promotes intrinsic motivation, which in turn enhances engagement with feedback.</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hint="eastAsia" w:ascii="HarmonyOS Sans SC" w:hAnsi="HarmonyOS Sans SC" w:eastAsia="HarmonyOS Sans SC" w:cs="HarmonyOS Sans SC"/>
          <w:sz w:val="21"/>
          <w:szCs w:val="21"/>
          <w:lang w:val="en-US" w:eastAsia="zh-CN"/>
        </w:rPr>
        <w:t xml:space="preserve">And t</w:t>
      </w:r>
      <w:r>
        <w:rPr>
          <w:rFonts w:ascii="HarmonyOS Sans SC" w:hAnsi="HarmonyOS Sans SC" w:eastAsia="HarmonyOS Sans SC" w:cs="HarmonyOS Sans SC"/>
          <w:sz w:val="21"/>
          <w:szCs w:val="21"/>
          <w:lang w:val="en-US" w:eastAsia="zh-CN"/>
        </w:rPr>
        <w:t xml:space="preserve">he use of self-regulation strategies is</w:t>
      </w:r>
      <w:r>
        <w:rPr>
          <w:rFonts w:hint="eastAsia" w:ascii="HarmonyOS Sans SC" w:hAnsi="HarmonyOS Sans SC" w:eastAsia="HarmonyOS Sans SC" w:cs="HarmonyOS Sans SC"/>
          <w:sz w:val="21"/>
          <w:szCs w:val="21"/>
          <w:lang w:val="en-US" w:eastAsia="zh-CN"/>
        </w:rPr>
        <w:t xml:space="preserve"> also</w:t>
      </w:r>
      <w:r>
        <w:rPr>
          <w:rFonts w:ascii="HarmonyOS Sans SC" w:hAnsi="HarmonyOS Sans SC" w:eastAsia="HarmonyOS Sans SC" w:cs="HarmonyOS Sans SC"/>
          <w:sz w:val="21"/>
          <w:szCs w:val="21"/>
          <w:lang w:val="en-US" w:eastAsia="zh-CN"/>
        </w:rPr>
        <w:t xml:space="preserve"> highlighted as a key component of effective engagement with feedback, suggesting that students who are more self-regulated are more likely to engage with and benefit from feedback.</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51"/>
        <w:pBdr/>
        <w:bidi w:val="false"/>
        <w:spacing/>
        <w:ind/>
        <w:rPr>
          <w:lang w:val="en-US" w:eastAsia="zh-CN"/>
        </w:rPr>
      </w:pPr>
      <w:r>
        <w:rPr>
          <w:lang w:val="en-US" w:eastAsia="zh-CN"/>
        </w:rPr>
        <w:t xml:space="preserve">Limitations and Areas for Future Research</w:t>
      </w:r>
      <w:r>
        <w:rPr>
          <w:lang w:val="en-US" w:eastAsia="zh-CN"/>
        </w:rPr>
      </w:r>
      <w:r>
        <w:rPr>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Many studies focus on specific educational contexts, such as Chinese EFL settings, which may limit the findings.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hint="eastAsia" w:ascii="HarmonyOS Sans SC" w:hAnsi="HarmonyOS Sans SC" w:eastAsia="HarmonyOS Sans SC" w:cs="HarmonyOS Sans SC"/>
          <w:sz w:val="21"/>
          <w:szCs w:val="21"/>
          <w:lang w:val="en-US" w:eastAsia="zh-CN"/>
        </w:rPr>
        <w:t xml:space="preserve">And it is easy for us to see: t</w:t>
      </w:r>
      <w:r>
        <w:rPr>
          <w:rFonts w:ascii="HarmonyOS Sans SC" w:hAnsi="HarmonyOS Sans SC" w:eastAsia="HarmonyOS Sans SC" w:cs="HarmonyOS Sans SC"/>
          <w:sz w:val="21"/>
          <w:szCs w:val="21"/>
          <w:lang w:val="en-US" w:eastAsia="zh-CN"/>
        </w:rPr>
        <w:t xml:space="preserve">he use of different methodologies across studies makes direct comparisons challenging and calls for more standardized approaches to measuring engagement.</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hint="eastAsia" w:ascii="HarmonyOS Sans SC" w:hAnsi="HarmonyOS Sans SC" w:eastAsia="HarmonyOS Sans SC" w:cs="HarmonyOS Sans SC"/>
          <w:sz w:val="21"/>
          <w:szCs w:val="21"/>
          <w:lang w:val="en-US" w:eastAsia="zh-CN"/>
        </w:rPr>
        <w:t xml:space="preserve">Also,t</w:t>
      </w:r>
      <w:r>
        <w:rPr>
          <w:rFonts w:ascii="HarmonyOS Sans SC" w:hAnsi="HarmonyOS Sans SC" w:eastAsia="HarmonyOS Sans SC" w:cs="HarmonyOS Sans SC"/>
          <w:sz w:val="21"/>
          <w:szCs w:val="21"/>
          <w:lang w:val="en-US" w:eastAsia="zh-CN"/>
        </w:rPr>
        <w:t xml:space="preserve">here is a need for longitudinal research to understand the development of engagement over time and the long-term effects of feedback practices.Future studies should </w:t>
      </w:r>
      <w:r>
        <w:rPr>
          <w:rFonts w:hint="eastAsia" w:ascii="HarmonyOS Sans SC" w:hAnsi="HarmonyOS Sans SC" w:eastAsia="HarmonyOS Sans SC" w:cs="HarmonyOS Sans SC"/>
          <w:sz w:val="21"/>
          <w:szCs w:val="21"/>
          <w:lang w:val="en-US" w:eastAsia="zh-CN"/>
        </w:rPr>
        <w:t xml:space="preserve">also </w:t>
      </w:r>
      <w:r>
        <w:rPr>
          <w:rFonts w:ascii="HarmonyOS Sans SC" w:hAnsi="HarmonyOS Sans SC" w:eastAsia="HarmonyOS Sans SC" w:cs="HarmonyOS Sans SC"/>
          <w:sz w:val="21"/>
          <w:szCs w:val="21"/>
          <w:lang w:val="en-US" w:eastAsia="zh-CN"/>
        </w:rPr>
        <w:t xml:space="preserve">consider a broader range of learner backgrounds and proficiency levels to enhance the representati</w:t>
      </w:r>
      <w:r>
        <w:rPr>
          <w:rFonts w:hint="eastAsia" w:ascii="HarmonyOS Sans SC" w:hAnsi="HarmonyOS Sans SC" w:eastAsia="HarmonyOS Sans SC" w:cs="HarmonyOS Sans SC"/>
          <w:sz w:val="21"/>
          <w:szCs w:val="21"/>
          <w:lang w:val="en-US" w:eastAsia="zh-CN"/>
        </w:rPr>
        <w:t xml:space="preserve">on</w:t>
      </w:r>
      <w:r>
        <w:rPr>
          <w:rFonts w:ascii="HarmonyOS Sans SC" w:hAnsi="HarmonyOS Sans SC" w:eastAsia="HarmonyOS Sans SC" w:cs="HarmonyOS Sans SC"/>
          <w:sz w:val="21"/>
          <w:szCs w:val="21"/>
          <w:lang w:val="en-US" w:eastAsia="zh-CN"/>
        </w:rPr>
        <w:t xml:space="preserve"> of the findings.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51"/>
        <w:pBdr/>
        <w:bidi w:val="false"/>
        <w:spacing/>
        <w:ind/>
        <w:rPr>
          <w:lang w:val="en-US" w:eastAsia="zh-CN"/>
        </w:rPr>
      </w:pPr>
      <w:r>
        <w:rPr>
          <w:lang w:val="en-US" w:eastAsia="zh-CN"/>
        </w:rPr>
        <w:t xml:space="preserve">Theoretical Frameworks and Research Methods</w:t>
      </w:r>
      <w:r>
        <w:rPr>
          <w:lang w:val="en-US" w:eastAsia="zh-CN"/>
        </w:rPr>
      </w:r>
      <w:r>
        <w:rPr>
          <w:lang w:val="en-US" w:eastAsia="zh-CN"/>
        </w:rPr>
      </w:r>
    </w:p>
    <w:p>
      <w:pPr>
        <w:pStyle w:val="752"/>
        <w:pBdr/>
        <w:bidi w:val="false"/>
        <w:spacing/>
        <w:ind/>
        <w:rPr>
          <w:rFonts w:ascii="HarmonyOS Sans SC" w:hAnsi="HarmonyOS Sans SC" w:eastAsia="HarmonyOS Sans SC" w:cs="HarmonyOS Sans SC"/>
          <w:sz w:val="21"/>
          <w:szCs w:val="21"/>
          <w:lang w:val="en-US" w:eastAsia="zh-CN"/>
        </w:rPr>
      </w:pPr>
      <w:r>
        <w:rPr>
          <w:lang w:val="en-US" w:eastAsia="zh-CN"/>
        </w:rPr>
        <w:t xml:space="preserve">Theoretical Frameworks: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numPr>
          <w:ilvl w:val="0"/>
          <w:numId w:val="1"/>
        </w:numPr>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Self-Determination Theory (SDT): Used to understand the role of intrinsic and extrinsic motivations in learner engagement.</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hint="eastAsia" w:ascii="HarmonyOS Sans SC" w:hAnsi="HarmonyOS Sans SC" w:eastAsia="HarmonyOS Sans SC" w:cs="HarmonyOS Sans SC"/>
          <w:sz w:val="21"/>
          <w:szCs w:val="21"/>
          <w:lang w:val="en-US" w:eastAsia="zh-CN"/>
        </w:rPr>
        <w:t xml:space="preserve">B. </w:t>
      </w:r>
      <w:r>
        <w:rPr>
          <w:rFonts w:ascii="HarmonyOS Sans SC" w:hAnsi="HarmonyOS Sans SC" w:eastAsia="HarmonyOS Sans SC" w:cs="HarmonyOS Sans SC"/>
          <w:sz w:val="21"/>
          <w:szCs w:val="21"/>
          <w:lang w:val="en-US" w:eastAsia="zh-CN"/>
        </w:rPr>
        <w:t xml:space="preserve">Possible Selves Theory: Explores how future-oriented goals and self-perceptions influence motivation and engagement.</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52"/>
        <w:pBdr/>
        <w:bidi w:val="false"/>
        <w:spacing/>
        <w:ind/>
        <w:rPr>
          <w:lang w:val="en-US" w:eastAsia="zh-CN"/>
        </w:rPr>
      </w:pPr>
      <w:r>
        <w:rPr>
          <w:lang w:val="en-US" w:eastAsia="zh-CN"/>
        </w:rPr>
        <w:t xml:space="preserve">Research Methods:</w:t>
      </w:r>
      <w:r>
        <w:rPr>
          <w:lang w:val="en-US" w:eastAsia="zh-CN"/>
        </w:rPr>
      </w:r>
      <w:r>
        <w:rPr>
          <w:lang w:val="en-US" w:eastAsia="zh-CN"/>
        </w:rPr>
      </w:r>
    </w:p>
    <w:p>
      <w:pPr>
        <w:pStyle w:val="749"/>
        <w:numPr>
          <w:ilvl w:val="0"/>
          <w:numId w:val="2"/>
        </w:numPr>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Qualitative Methods: Including interviews, reflective journals, and case studies, which provide in-depth insights into the complexities of learner engagement.</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hint="eastAsia" w:ascii="HarmonyOS Sans SC" w:hAnsi="HarmonyOS Sans SC" w:eastAsia="HarmonyOS Sans SC" w:cs="HarmonyOS Sans SC"/>
          <w:sz w:val="21"/>
          <w:szCs w:val="21"/>
          <w:lang w:val="en-US" w:eastAsia="zh-CN"/>
        </w:rPr>
        <w:t xml:space="preserve">B. </w:t>
      </w:r>
      <w:r>
        <w:rPr>
          <w:rFonts w:ascii="HarmonyOS Sans SC" w:hAnsi="HarmonyOS Sans SC" w:eastAsia="HarmonyOS Sans SC" w:cs="HarmonyOS Sans SC"/>
          <w:sz w:val="21"/>
          <w:szCs w:val="21"/>
          <w:lang w:val="en-US" w:eastAsia="zh-CN"/>
        </w:rPr>
        <w:t xml:space="preserve">Quantitative Methods: Such as surveys and structural equation modeling, which offer statistically robust findings.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52"/>
        <w:pBdr/>
        <w:bidi w:val="false"/>
        <w:spacing/>
        <w:ind/>
        <w:rPr>
          <w:lang w:val="en-US" w:eastAsia="zh-CN"/>
        </w:rPr>
      </w:pPr>
      <w:r>
        <w:rPr>
          <w:lang w:val="en-US" w:eastAsia="zh-CN"/>
        </w:rPr>
        <w:t xml:space="preserve">Applicability and Limitations</w:t>
      </w:r>
      <w:r>
        <w:rPr>
          <w:lang w:val="en-US" w:eastAsia="zh-CN"/>
        </w:rPr>
      </w:r>
      <w:r>
        <w:rPr>
          <w:lang w:val="en-US" w:eastAsia="zh-CN"/>
        </w:rPr>
      </w:r>
    </w:p>
    <w:p>
      <w:pPr>
        <w:pStyle w:val="749"/>
        <w:numPr>
          <w:ilvl w:val="0"/>
          <w:numId w:val="3"/>
        </w:numPr>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Applicability:</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Theoretical frameworks like SDT and Possible Selves Theory provide a comprehensive understanding of the motivational aspects of learner engagement.</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Mixed methods research allows for a more holistic view of the phenomenon, combining the strengths of both qualitative and quantitative approaches.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numPr>
          <w:ilvl w:val="0"/>
          <w:numId w:val="3"/>
        </w:numPr>
        <w:pBdr/>
        <w:spacing w:line="480" w:lineRule="auto"/>
        <w:ind w:firstLine="452" w:left="0"/>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Limitations</w:t>
      </w:r>
      <w:r>
        <w:rPr>
          <w:rFonts w:hint="eastAsia" w:ascii="HarmonyOS Sans SC" w:hAnsi="HarmonyOS Sans SC" w:eastAsia="HarmonyOS Sans SC" w:cs="HarmonyOS Sans SC"/>
          <w:sz w:val="21"/>
          <w:szCs w:val="21"/>
          <w:lang w:val="en-US" w:eastAsia="zh-CN"/>
        </w:rPr>
        <w:t xml:space="preserve">:</w:t>
      </w:r>
      <w:r>
        <w:rPr>
          <w:rFonts w:ascii="HarmonyOS Sans SC" w:hAnsi="HarmonyOS Sans SC" w:eastAsia="HarmonyOS Sans SC" w:cs="HarmonyOS Sans SC"/>
          <w:sz w:val="21"/>
          <w:szCs w:val="21"/>
          <w:lang w:val="en-US" w:eastAsia="zh-CN"/>
        </w:rPr>
        <w:t xml:space="preserve">Theoretical frameworks may not fully capture the cultural and contextual nuances of learner engagement in diverse educational settings.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Qualitative methods, while insightful, may not provide findings that are easily generalizable to other contexts</w:t>
      </w:r>
      <w:r>
        <w:rPr>
          <w:rFonts w:hint="eastAsia" w:ascii="HarmonyOS Sans SC" w:hAnsi="HarmonyOS Sans SC" w:eastAsia="HarmonyOS Sans SC" w:cs="HarmonyOS Sans SC"/>
          <w:sz w:val="21"/>
          <w:szCs w:val="21"/>
          <w:lang w:val="en-US" w:eastAsia="zh-CN"/>
        </w:rPr>
        <w:t xml:space="preserve">,and they</w:t>
      </w:r>
      <w:r>
        <w:rPr>
          <w:rFonts w:ascii="HarmonyOS Sans SC" w:hAnsi="HarmonyOS Sans SC" w:eastAsia="HarmonyOS Sans SC" w:cs="HarmonyOS Sans SC"/>
          <w:sz w:val="21"/>
          <w:szCs w:val="21"/>
          <w:lang w:val="en-US" w:eastAsia="zh-CN"/>
        </w:rPr>
        <w:t xml:space="preserve"> rely on self-report data, which can be subject to bias.</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50"/>
        <w:pBdr/>
        <w:bidi w:val="false"/>
        <w:spacing/>
        <w:ind/>
        <w:rPr>
          <w:lang w:val="en-US" w:eastAsia="zh-CN"/>
        </w:rPr>
      </w:pPr>
      <w:r>
        <w:rPr>
          <w:lang w:val="en-US" w:eastAsia="zh-CN"/>
        </w:rPr>
        <w:t xml:space="preserve">Conclusion</w:t>
      </w:r>
      <w:r>
        <w:rPr>
          <w:lang w:val="en-US" w:eastAsia="zh-CN"/>
        </w:rPr>
      </w:r>
      <w:r>
        <w:rPr>
          <w:lang w:val="en-US" w:eastAsia="zh-CN"/>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t xml:space="preserve">The literature on student engagement with feedback in L2 writing is marked by a growing recognition of the importance of motivational factors and self-regulatory strategies. While the current st</w:t>
      </w:r>
      <w:r>
        <w:rPr>
          <w:rFonts w:ascii="HarmonyOS Sans SC" w:hAnsi="HarmonyOS Sans SC" w:eastAsia="HarmonyOS Sans SC" w:cs="HarmonyOS Sans SC"/>
          <w:sz w:val="21"/>
          <w:szCs w:val="21"/>
          <w:lang w:val="en-US" w:eastAsia="zh-CN"/>
        </w:rPr>
        <w:t xml:space="preserve">udies have made significant contributions, there is a need for more diverse methodologies, broader contexts, and longitudinal research to fully understand the dynamics of learner engagement. Theoretical frameworks have been instrumental in guiding research</w:t>
      </w:r>
      <w:r>
        <w:rPr>
          <w:rFonts w:ascii="HarmonyOS Sans SC" w:hAnsi="HarmonyOS Sans SC" w:eastAsia="HarmonyOS Sans SC" w:cs="HarmonyOS Sans SC"/>
          <w:sz w:val="21"/>
          <w:szCs w:val="21"/>
          <w:lang w:val="en-US" w:eastAsia="zh-CN"/>
        </w:rPr>
        <w:t xml:space="preserve">, but their application must be nuanced to account for the variability in learner experiences. Future research should aim to address these gaps, providing a more comprehensive understanding of how to foster effective engagement with feedback in L2 writing.</w:t>
      </w: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50"/>
        <w:pBdr/>
        <w:bidi w:val="false"/>
        <w:spacing/>
        <w:ind/>
        <w:rPr>
          <w:rFonts w:hint="eastAsia"/>
          <w:lang w:val="en-US" w:eastAsia="zh-CN"/>
        </w:rPr>
      </w:pPr>
      <w:r>
        <w:rPr>
          <w:rFonts w:hint="eastAsia"/>
          <w:lang w:val="en-US" w:eastAsia="zh-CN"/>
        </w:rPr>
        <w:t xml:space="preserve">References</w:t>
      </w:r>
      <w:r>
        <w:rPr>
          <w:rFonts w:hint="eastAsia"/>
          <w:lang w:val="en-US" w:eastAsia="zh-CN"/>
        </w:rPr>
      </w:r>
      <w:r>
        <w:rPr>
          <w:rFonts w:hint="eastAsia"/>
          <w:lang w:val="en-US" w:eastAsia="zh-CN"/>
        </w:rPr>
      </w:r>
    </w:p>
    <w:p>
      <w:pPr>
        <w:pStyle w:val="749"/>
        <w:keepNext w:val="false"/>
        <w:keepLines w:val="false"/>
        <w:widowControl w:val="true"/>
        <w:suppressLineNumbers w:val="false"/>
        <w:pBdr/>
        <w:spacing/>
        <w:ind/>
        <w:jc w:val="left"/>
        <w:rPr>
          <w:rFonts w:ascii="Arial" w:hAnsi="Arial" w:eastAsia="宋体" w:cs="Arial"/>
          <w:color w:val="000000"/>
          <w:sz w:val="24"/>
          <w:szCs w:val="24"/>
          <w:lang w:val="en-US" w:eastAsia="zh-CN" w:bidi="ar"/>
        </w:rPr>
      </w:pPr>
      <w:r>
        <w:rPr>
          <w:rFonts w:hint="eastAsia" w:ascii="Arial" w:hAnsi="Arial" w:eastAsia="宋体" w:cs="Arial"/>
          <w:color w:val="000000"/>
          <w:sz w:val="24"/>
          <w:szCs w:val="24"/>
          <w:lang w:val="en-US" w:eastAsia="zh-CN" w:bidi="ar"/>
        </w:rPr>
        <w:t xml:space="preserve">[1]</w:t>
      </w:r>
      <w:r>
        <w:rPr>
          <w:rFonts w:ascii="Arial" w:hAnsi="Arial" w:eastAsia="宋体" w:cs="Arial"/>
          <w:color w:val="000000"/>
          <w:sz w:val="24"/>
          <w:szCs w:val="24"/>
          <w:lang w:val="en-US" w:eastAsia="zh-CN" w:bidi="ar"/>
        </w:rPr>
      </w:r>
      <w:r>
        <w:rPr>
          <w:rFonts w:ascii="Arial" w:hAnsi="Arial" w:eastAsia="宋体" w:cs="Arial"/>
          <w:color w:val="000000"/>
          <w:sz w:val="24"/>
          <w:szCs w:val="24"/>
          <w:lang w:val="en-US" w:eastAsia="zh-CN" w:bidi="ar"/>
        </w:rPr>
      </w:r>
    </w:p>
    <w:p>
      <w:pPr>
        <w:pStyle w:val="749"/>
        <w:keepNext w:val="false"/>
        <w:keepLines w:val="false"/>
        <w:widowControl w:val="true"/>
        <w:suppressLineNumbers w:val="false"/>
        <w:pBdr/>
        <w:spacing/>
        <w:ind/>
        <w:jc w:val="left"/>
        <w:rPr>
          <w:rFonts w:ascii="Arial" w:hAnsi="Arial" w:eastAsia="宋体" w:cs="Arial"/>
          <w:color w:val="000000"/>
          <w:sz w:val="24"/>
          <w:szCs w:val="24"/>
          <w:lang w:val="en-US" w:eastAsia="zh-CN" w:bidi="ar"/>
        </w:rPr>
      </w:pPr>
      <w:r>
        <w:rPr>
          <w:rFonts w:ascii="Arial" w:hAnsi="Arial" w:eastAsia="宋体" w:cs="Arial"/>
          <w:color w:val="000000"/>
          <w:sz w:val="24"/>
          <w:szCs w:val="24"/>
          <w:lang w:val="en-US" w:eastAsia="zh-CN" w:bidi="ar"/>
        </w:rPr>
        <w:t xml:space="preserve">Pan</w:t>
      </w:r>
      <w:r>
        <w:rPr>
          <w:rFonts w:ascii="Arial" w:hAnsi="Arial" w:eastAsia="宋体" w:cs="Arial"/>
          <w:color w:val="000000"/>
          <w:sz w:val="24"/>
          <w:szCs w:val="24"/>
          <w:lang w:val="en-US" w:eastAsia="zh-CN" w:bidi="ar"/>
        </w:rPr>
        <w:t xml:space="preserve">, J., Chen, H., &amp; Yuan, S. (2023). A comparative study of the engagement with written corrective feedback of Chinese private college students. Asian-Pacific Journal of Second and Foreign Language Education, 8, 18. https://doi.org/10.1186/s40862-023-00191-8</w:t>
      </w:r>
      <w:r>
        <w:rPr>
          <w:rFonts w:ascii="Arial" w:hAnsi="Arial" w:eastAsia="宋体" w:cs="Arial"/>
          <w:color w:val="000000"/>
          <w:sz w:val="24"/>
          <w:szCs w:val="24"/>
          <w:lang w:val="en-US" w:eastAsia="zh-CN" w:bidi="ar"/>
        </w:rPr>
      </w:r>
      <w:r>
        <w:rPr>
          <w:rFonts w:ascii="Arial" w:hAnsi="Arial" w:eastAsia="宋体" w:cs="Arial"/>
          <w:color w:val="000000"/>
          <w:sz w:val="24"/>
          <w:szCs w:val="24"/>
          <w:lang w:val="en-US" w:eastAsia="zh-CN" w:bidi="ar"/>
        </w:rPr>
      </w:r>
    </w:p>
    <w:p>
      <w:pPr>
        <w:pStyle w:val="749"/>
        <w:keepNext w:val="false"/>
        <w:keepLines w:val="false"/>
        <w:widowControl w:val="true"/>
        <w:suppressLineNumbers w:val="false"/>
        <w:pBdr/>
        <w:spacing/>
        <w:ind/>
        <w:jc w:val="left"/>
        <w:rPr>
          <w:rFonts w:ascii="Arial" w:hAnsi="Arial" w:eastAsia="宋体" w:cs="Arial"/>
          <w:color w:val="000000"/>
          <w:sz w:val="24"/>
          <w:szCs w:val="24"/>
          <w:lang w:val="en-US" w:eastAsia="zh-CN" w:bidi="ar"/>
        </w:rPr>
      </w:pPr>
      <w:r>
        <w:rPr>
          <w:rFonts w:hint="eastAsia" w:ascii="Arial" w:hAnsi="Arial" w:eastAsia="宋体" w:cs="Arial"/>
          <w:color w:val="000000"/>
          <w:sz w:val="24"/>
          <w:szCs w:val="24"/>
          <w:lang w:val="en-US" w:eastAsia="zh-CN" w:bidi="ar"/>
        </w:rPr>
        <w:t xml:space="preserve">[2]</w:t>
      </w:r>
      <w:r>
        <w:rPr>
          <w:rFonts w:ascii="Arial" w:hAnsi="Arial" w:eastAsia="宋体" w:cs="Arial"/>
          <w:color w:val="000000"/>
          <w:sz w:val="24"/>
          <w:szCs w:val="24"/>
          <w:lang w:val="en-US" w:eastAsia="zh-CN" w:bidi="ar"/>
        </w:rPr>
      </w:r>
      <w:r>
        <w:rPr>
          <w:rFonts w:ascii="Arial" w:hAnsi="Arial" w:eastAsia="宋体" w:cs="Arial"/>
          <w:color w:val="000000"/>
          <w:sz w:val="24"/>
          <w:szCs w:val="24"/>
          <w:lang w:val="en-US" w:eastAsia="zh-CN" w:bidi="ar"/>
        </w:rPr>
      </w:r>
    </w:p>
    <w:p>
      <w:pPr>
        <w:pStyle w:val="749"/>
        <w:keepNext w:val="false"/>
        <w:keepLines w:val="false"/>
        <w:widowControl w:val="true"/>
        <w:suppressLineNumbers w:val="false"/>
        <w:pBdr/>
        <w:spacing/>
        <w:ind/>
        <w:jc w:val="left"/>
        <w:rPr>
          <w:rFonts w:ascii="Arial" w:hAnsi="Arial" w:eastAsia="宋体" w:cs="Arial"/>
          <w:color w:val="000000"/>
          <w:sz w:val="24"/>
          <w:szCs w:val="24"/>
          <w:lang w:val="en-US" w:eastAsia="zh-CN" w:bidi="ar"/>
        </w:rPr>
      </w:pPr>
      <w:r>
        <w:rPr>
          <w:rFonts w:ascii="Arial" w:hAnsi="Arial" w:eastAsia="宋体" w:cs="Arial"/>
          <w:color w:val="000000"/>
          <w:sz w:val="24"/>
          <w:szCs w:val="24"/>
          <w:lang w:val="en-US" w:eastAsia="zh-CN" w:bidi="ar"/>
        </w:rPr>
        <w:t xml:space="preserve">Cheng, X., Liu, Y., &amp; Wang, C. (2023). Understanding student engagement with teacher and peer feedback in L2 writing. System, 119, 103176. https://doi.org/10.1016/j.system.2023.103176</w:t>
      </w:r>
      <w:r>
        <w:rPr>
          <w:rFonts w:ascii="Arial" w:hAnsi="Arial" w:eastAsia="宋体" w:cs="Arial"/>
          <w:color w:val="000000"/>
          <w:sz w:val="24"/>
          <w:szCs w:val="24"/>
          <w:lang w:val="en-US" w:eastAsia="zh-CN" w:bidi="ar"/>
        </w:rPr>
      </w:r>
      <w:r>
        <w:rPr>
          <w:rFonts w:ascii="Arial" w:hAnsi="Arial" w:eastAsia="宋体" w:cs="Arial"/>
          <w:color w:val="000000"/>
          <w:sz w:val="24"/>
          <w:szCs w:val="24"/>
          <w:lang w:val="en-US" w:eastAsia="zh-CN" w:bidi="ar"/>
        </w:rPr>
      </w:r>
    </w:p>
    <w:p>
      <w:pPr>
        <w:pStyle w:val="749"/>
        <w:keepNext w:val="false"/>
        <w:keepLines w:val="false"/>
        <w:widowControl w:val="true"/>
        <w:suppressLineNumbers w:val="false"/>
        <w:pBdr/>
        <w:spacing/>
        <w:ind/>
        <w:jc w:val="left"/>
        <w:rPr>
          <w:rFonts w:ascii="Arial" w:hAnsi="Arial" w:eastAsia="宋体" w:cs="Arial"/>
          <w:color w:val="000000"/>
          <w:sz w:val="24"/>
          <w:szCs w:val="24"/>
          <w:lang w:val="en-US" w:eastAsia="zh-CN" w:bidi="ar"/>
        </w:rPr>
      </w:pPr>
      <w:r>
        <w:rPr>
          <w:rFonts w:hint="eastAsia" w:ascii="Arial" w:hAnsi="Arial" w:eastAsia="宋体" w:cs="Arial"/>
          <w:color w:val="000000"/>
          <w:sz w:val="24"/>
          <w:szCs w:val="24"/>
          <w:lang w:val="en-US" w:eastAsia="zh-CN" w:bidi="ar"/>
        </w:rPr>
        <w:t xml:space="preserve">[3]</w:t>
      </w:r>
      <w:r>
        <w:rPr>
          <w:rFonts w:ascii="Arial" w:hAnsi="Arial" w:eastAsia="宋体" w:cs="Arial"/>
          <w:color w:val="000000"/>
          <w:sz w:val="24"/>
          <w:szCs w:val="24"/>
          <w:lang w:val="en-US" w:eastAsia="zh-CN" w:bidi="ar"/>
        </w:rPr>
      </w:r>
      <w:r>
        <w:rPr>
          <w:rFonts w:ascii="Arial" w:hAnsi="Arial" w:eastAsia="宋体" w:cs="Arial"/>
          <w:color w:val="000000"/>
          <w:sz w:val="24"/>
          <w:szCs w:val="24"/>
          <w:lang w:val="en-US" w:eastAsia="zh-CN" w:bidi="ar"/>
        </w:rPr>
      </w:r>
    </w:p>
    <w:p>
      <w:pPr>
        <w:pStyle w:val="749"/>
        <w:keepNext w:val="false"/>
        <w:keepLines w:val="false"/>
        <w:widowControl w:val="true"/>
        <w:suppressLineNumbers w:val="false"/>
        <w:pBdr/>
        <w:spacing/>
        <w:ind/>
        <w:jc w:val="left"/>
        <w:rPr>
          <w:rFonts w:ascii="Arial" w:hAnsi="Arial" w:eastAsia="宋体" w:cs="Arial"/>
          <w:color w:val="000000"/>
          <w:sz w:val="24"/>
          <w:szCs w:val="24"/>
          <w:lang w:val="en-US" w:eastAsia="zh-CN" w:bidi="ar"/>
        </w:rPr>
      </w:pPr>
      <w:r>
        <w:rPr>
          <w:rFonts w:ascii="Arial" w:hAnsi="Arial" w:eastAsia="宋体" w:cs="Arial"/>
          <w:color w:val="000000"/>
          <w:sz w:val="24"/>
          <w:szCs w:val="24"/>
          <w:lang w:val="en-US" w:eastAsia="zh-CN" w:bidi="ar"/>
        </w:rPr>
        <w:t xml:space="preserve">Zhou, S. A., &amp; Hiver, P. (2022). The effect of self-regulated writing strategies on students’ L2 writing engagement and disengagement behaviors. System, 106, 102768. https://doi.org/10.1016/j.system.2022.102768</w:t>
      </w:r>
      <w:r>
        <w:rPr>
          <w:rFonts w:ascii="Arial" w:hAnsi="Arial" w:eastAsia="宋体" w:cs="Arial"/>
          <w:color w:val="000000"/>
          <w:sz w:val="24"/>
          <w:szCs w:val="24"/>
          <w:lang w:val="en-US" w:eastAsia="zh-CN" w:bidi="ar"/>
        </w:rPr>
      </w:r>
      <w:r>
        <w:rPr>
          <w:rFonts w:ascii="Arial" w:hAnsi="Arial" w:eastAsia="宋体" w:cs="Arial"/>
          <w:color w:val="000000"/>
          <w:sz w:val="24"/>
          <w:szCs w:val="24"/>
          <w:lang w:val="en-US" w:eastAsia="zh-CN" w:bidi="ar"/>
        </w:rPr>
      </w:r>
    </w:p>
    <w:p>
      <w:pPr>
        <w:pStyle w:val="749"/>
        <w:keepNext w:val="false"/>
        <w:keepLines w:val="false"/>
        <w:widowControl w:val="true"/>
        <w:suppressLineNumbers w:val="false"/>
        <w:pBdr/>
        <w:spacing/>
        <w:ind/>
        <w:jc w:val="left"/>
        <w:rPr>
          <w:rFonts w:ascii="Arial" w:hAnsi="Arial" w:eastAsia="宋体" w:cs="Arial"/>
          <w:color w:val="000000"/>
          <w:sz w:val="24"/>
          <w:szCs w:val="24"/>
          <w:lang w:val="en-US" w:eastAsia="zh-CN" w:bidi="ar"/>
        </w:rPr>
      </w:pPr>
      <w:r>
        <w:rPr>
          <w:rFonts w:hint="eastAsia" w:ascii="Arial" w:hAnsi="Arial" w:eastAsia="宋体" w:cs="Arial"/>
          <w:color w:val="000000"/>
          <w:sz w:val="24"/>
          <w:szCs w:val="24"/>
          <w:lang w:val="en-US" w:eastAsia="zh-CN" w:bidi="ar"/>
        </w:rPr>
        <w:t xml:space="preserve">[4]</w:t>
      </w:r>
      <w:r>
        <w:rPr>
          <w:rFonts w:ascii="Arial" w:hAnsi="Arial" w:eastAsia="宋体" w:cs="Arial"/>
          <w:color w:val="000000"/>
          <w:sz w:val="24"/>
          <w:szCs w:val="24"/>
          <w:lang w:val="en-US" w:eastAsia="zh-CN" w:bidi="ar"/>
        </w:rPr>
      </w:r>
      <w:r>
        <w:rPr>
          <w:rFonts w:ascii="Arial" w:hAnsi="Arial" w:eastAsia="宋体" w:cs="Arial"/>
          <w:color w:val="000000"/>
          <w:sz w:val="24"/>
          <w:szCs w:val="24"/>
          <w:lang w:val="en-US" w:eastAsia="zh-CN" w:bidi="ar"/>
        </w:rPr>
      </w:r>
    </w:p>
    <w:p>
      <w:pPr>
        <w:pStyle w:val="749"/>
        <w:keepNext w:val="false"/>
        <w:keepLines w:val="false"/>
        <w:widowControl w:val="true"/>
        <w:suppressLineNumbers w:val="false"/>
        <w:pBdr/>
        <w:spacing/>
        <w:ind/>
        <w:jc w:val="left"/>
        <w:rPr>
          <w:rFonts w:ascii="Arial" w:hAnsi="Arial" w:eastAsia="宋体" w:cs="Arial"/>
          <w:color w:val="000000"/>
          <w:sz w:val="24"/>
          <w:szCs w:val="24"/>
          <w:lang w:val="en-US" w:eastAsia="zh-CN" w:bidi="ar"/>
        </w:rPr>
      </w:pPr>
      <w:r>
        <w:rPr>
          <w:rFonts w:ascii="Arial" w:hAnsi="Arial" w:eastAsia="宋体" w:cs="Arial"/>
          <w:color w:val="000000"/>
          <w:sz w:val="24"/>
          <w:szCs w:val="24"/>
          <w:lang w:val="en-US" w:eastAsia="zh-CN" w:bidi="ar"/>
        </w:rPr>
        <w:t xml:space="preserve">Zhang, V., &amp; Hyland, K. (2023). Student engagement with peer feedback in L2 writing: Insights from reflective journaling and revising practices. Assessing Writing, 58, 100784. https://doi.org/10.1016/j.asw.2023.100784</w:t>
      </w:r>
      <w:r>
        <w:rPr>
          <w:rFonts w:ascii="Arial" w:hAnsi="Arial" w:eastAsia="宋体" w:cs="Arial"/>
          <w:color w:val="000000"/>
          <w:sz w:val="24"/>
          <w:szCs w:val="24"/>
          <w:lang w:val="en-US" w:eastAsia="zh-CN" w:bidi="ar"/>
        </w:rPr>
      </w:r>
      <w:r>
        <w:rPr>
          <w:rFonts w:ascii="Arial" w:hAnsi="Arial" w:eastAsia="宋体" w:cs="Arial"/>
          <w:color w:val="000000"/>
          <w:sz w:val="24"/>
          <w:szCs w:val="24"/>
          <w:lang w:val="en-US" w:eastAsia="zh-CN" w:bidi="ar"/>
        </w:rPr>
      </w:r>
    </w:p>
    <w:p>
      <w:pPr>
        <w:pStyle w:val="749"/>
        <w:keepNext w:val="false"/>
        <w:keepLines w:val="false"/>
        <w:widowControl w:val="true"/>
        <w:suppressLineNumbers w:val="false"/>
        <w:pBdr/>
        <w:spacing/>
        <w:ind/>
        <w:jc w:val="left"/>
        <w:rPr>
          <w:rFonts w:ascii="Arial" w:hAnsi="Arial" w:eastAsia="宋体" w:cs="Arial"/>
          <w:color w:val="000000"/>
          <w:sz w:val="24"/>
          <w:szCs w:val="24"/>
          <w:lang w:val="en-US" w:eastAsia="zh-CN" w:bidi="ar"/>
        </w:rPr>
      </w:pPr>
      <w:r>
        <w:rPr>
          <w:rFonts w:hint="eastAsia" w:ascii="Arial" w:hAnsi="Arial" w:eastAsia="宋体" w:cs="Arial"/>
          <w:color w:val="000000"/>
          <w:sz w:val="24"/>
          <w:szCs w:val="24"/>
          <w:lang w:val="en-US" w:eastAsia="zh-CN" w:bidi="ar"/>
        </w:rPr>
        <w:t xml:space="preserve">[5]</w:t>
      </w:r>
      <w:r>
        <w:rPr>
          <w:rFonts w:ascii="Arial" w:hAnsi="Arial" w:eastAsia="宋体" w:cs="Arial"/>
          <w:color w:val="000000"/>
          <w:sz w:val="24"/>
          <w:szCs w:val="24"/>
          <w:lang w:val="en-US" w:eastAsia="zh-CN" w:bidi="ar"/>
        </w:rPr>
      </w:r>
      <w:r>
        <w:rPr>
          <w:rFonts w:ascii="Arial" w:hAnsi="Arial" w:eastAsia="宋体" w:cs="Arial"/>
          <w:color w:val="000000"/>
          <w:sz w:val="24"/>
          <w:szCs w:val="24"/>
          <w:lang w:val="en-US" w:eastAsia="zh-CN" w:bidi="ar"/>
        </w:rPr>
      </w:r>
    </w:p>
    <w:p>
      <w:pPr>
        <w:pStyle w:val="749"/>
        <w:keepNext w:val="false"/>
        <w:keepLines w:val="false"/>
        <w:widowControl w:val="true"/>
        <w:suppressLineNumbers w:val="false"/>
        <w:pBdr/>
        <w:spacing/>
        <w:ind/>
        <w:jc w:val="left"/>
        <w:rPr>
          <w:rFonts w:ascii="Arial" w:hAnsi="Arial" w:eastAsia="宋体" w:cs="Arial"/>
          <w:color w:val="000000"/>
          <w:sz w:val="24"/>
          <w:szCs w:val="24"/>
          <w:lang w:val="en-US" w:eastAsia="zh-CN" w:bidi="ar"/>
        </w:rPr>
      </w:pPr>
      <w:r>
        <w:rPr>
          <w:rFonts w:ascii="Arial" w:hAnsi="Arial" w:eastAsia="宋体" w:cs="Arial"/>
          <w:color w:val="000000"/>
          <w:sz w:val="24"/>
          <w:szCs w:val="24"/>
          <w:lang w:val="en-US" w:eastAsia="zh-CN" w:bidi="ar"/>
        </w:rPr>
        <w:t xml:space="preserve">Yu, S., Jiang, L., &amp; Zhou, N. (2020). Investigating what feedback practices contribute to students’ writing motivation and engagement in Chinese EFL context: A large-scale study. Assessing Writing, 44, 100451. https://doi.org/10.1016/j.asw.2020.100451</w:t>
      </w:r>
      <w:r>
        <w:rPr>
          <w:rFonts w:ascii="Arial" w:hAnsi="Arial" w:eastAsia="宋体" w:cs="Arial"/>
          <w:color w:val="000000"/>
          <w:sz w:val="24"/>
          <w:szCs w:val="24"/>
          <w:lang w:val="en-US" w:eastAsia="zh-CN" w:bidi="ar"/>
        </w:rPr>
      </w:r>
      <w:r>
        <w:rPr>
          <w:rFonts w:ascii="Arial" w:hAnsi="Arial" w:eastAsia="宋体" w:cs="Arial"/>
          <w:color w:val="000000"/>
          <w:sz w:val="24"/>
          <w:szCs w:val="24"/>
          <w:lang w:val="en-US" w:eastAsia="zh-CN" w:bidi="ar"/>
        </w:rPr>
      </w:r>
    </w:p>
    <w:p>
      <w:pPr>
        <w:pStyle w:val="749"/>
        <w:keepNext w:val="false"/>
        <w:keepLines w:val="false"/>
        <w:widowControl w:val="true"/>
        <w:suppressLineNumbers w:val="false"/>
        <w:pBdr/>
        <w:spacing/>
        <w:ind/>
        <w:jc w:val="left"/>
        <w:rPr>
          <w:rFonts w:ascii="Arial" w:hAnsi="Arial" w:eastAsia="宋体" w:cs="Arial"/>
          <w:color w:val="000000"/>
          <w:sz w:val="24"/>
          <w:szCs w:val="24"/>
          <w:lang w:val="en-US" w:eastAsia="zh-CN" w:bidi="ar"/>
        </w:rPr>
      </w:pPr>
      <w:r>
        <w:rPr>
          <w:rFonts w:hint="eastAsia" w:ascii="Arial" w:hAnsi="Arial" w:eastAsia="宋体" w:cs="Arial"/>
          <w:color w:val="000000"/>
          <w:sz w:val="24"/>
          <w:szCs w:val="24"/>
          <w:lang w:val="en-US" w:eastAsia="zh-CN" w:bidi="ar"/>
        </w:rPr>
        <w:t xml:space="preserve">[6]</w:t>
      </w:r>
      <w:r>
        <w:rPr>
          <w:rFonts w:ascii="Arial" w:hAnsi="Arial" w:eastAsia="宋体" w:cs="Arial"/>
          <w:color w:val="000000"/>
          <w:sz w:val="24"/>
          <w:szCs w:val="24"/>
          <w:lang w:val="en-US" w:eastAsia="zh-CN" w:bidi="ar"/>
        </w:rPr>
      </w:r>
      <w:r>
        <w:rPr>
          <w:rFonts w:ascii="Arial" w:hAnsi="Arial" w:eastAsia="宋体" w:cs="Arial"/>
          <w:color w:val="000000"/>
          <w:sz w:val="24"/>
          <w:szCs w:val="24"/>
          <w:lang w:val="en-US" w:eastAsia="zh-CN" w:bidi="ar"/>
        </w:rPr>
      </w:r>
    </w:p>
    <w:p>
      <w:pPr>
        <w:pStyle w:val="749"/>
        <w:keepNext w:val="false"/>
        <w:keepLines w:val="false"/>
        <w:widowControl w:val="true"/>
        <w:suppressLineNumbers w:val="false"/>
        <w:pBdr/>
        <w:spacing/>
        <w:ind/>
        <w:jc w:val="left"/>
        <w:rPr>
          <w:rFonts w:ascii="Arial" w:hAnsi="Arial" w:eastAsia="宋体" w:cs="Arial"/>
          <w:color w:val="000000"/>
          <w:sz w:val="24"/>
          <w:szCs w:val="24"/>
          <w:lang w:val="en-US" w:eastAsia="zh-CN" w:bidi="ar"/>
        </w:rPr>
      </w:pPr>
      <w:r>
        <w:rPr>
          <w:rFonts w:ascii="Arial" w:hAnsi="Arial" w:eastAsia="宋体" w:cs="Arial"/>
          <w:color w:val="000000"/>
          <w:sz w:val="24"/>
          <w:szCs w:val="24"/>
          <w:lang w:val="en-US" w:eastAsia="zh-CN" w:bidi="ar"/>
        </w:rPr>
        <w:t xml:space="preserve">Tsao, J., Tseng, W., Hsiao, T., Wang, C., &amp; Gao, X. (2021). Toward a Motivation-Regulated Learner Engagement WCF Model of L2 Writing Performance. SAGEOpen. https://doi.org/10.1177/21582440211023172</w:t>
      </w:r>
      <w:r>
        <w:rPr>
          <w:rFonts w:ascii="Arial" w:hAnsi="Arial" w:eastAsia="宋体" w:cs="Arial"/>
          <w:color w:val="000000"/>
          <w:sz w:val="24"/>
          <w:szCs w:val="24"/>
          <w:lang w:val="en-US" w:eastAsia="zh-CN" w:bidi="ar"/>
        </w:rPr>
      </w:r>
      <w:r>
        <w:rPr>
          <w:rFonts w:ascii="Arial" w:hAnsi="Arial" w:eastAsia="宋体" w:cs="Arial"/>
          <w:color w:val="000000"/>
          <w:sz w:val="24"/>
          <w:szCs w:val="24"/>
          <w:lang w:val="en-US" w:eastAsia="zh-CN" w:bidi="ar"/>
        </w:rPr>
      </w:r>
    </w:p>
    <w:p>
      <w:pPr>
        <w:pStyle w:val="749"/>
        <w:keepNext w:val="false"/>
        <w:keepLines w:val="false"/>
        <w:widowControl w:val="true"/>
        <w:suppressLineNumbers w:val="false"/>
        <w:pBdr/>
        <w:spacing/>
        <w:ind/>
        <w:jc w:val="left"/>
        <w:rPr>
          <w:rFonts w:ascii="Arial" w:hAnsi="Arial" w:eastAsia="宋体" w:cs="Arial"/>
          <w:color w:val="000000"/>
          <w:sz w:val="24"/>
          <w:szCs w:val="24"/>
          <w:lang w:val="en-US" w:eastAsia="zh-CN" w:bidi="ar"/>
        </w:rPr>
      </w:pPr>
      <w:r>
        <w:rPr>
          <w:rFonts w:hint="eastAsia" w:ascii="Arial" w:hAnsi="Arial" w:eastAsia="宋体" w:cs="Arial"/>
          <w:color w:val="000000"/>
          <w:sz w:val="24"/>
          <w:szCs w:val="24"/>
          <w:lang w:val="en-US" w:eastAsia="zh-CN" w:bidi="ar"/>
        </w:rPr>
        <w:t xml:space="preserve">[7]</w:t>
      </w:r>
      <w:r>
        <w:rPr>
          <w:rFonts w:ascii="Arial" w:hAnsi="Arial" w:eastAsia="宋体" w:cs="Arial"/>
          <w:color w:val="000000"/>
          <w:sz w:val="24"/>
          <w:szCs w:val="24"/>
          <w:lang w:val="en-US" w:eastAsia="zh-CN" w:bidi="ar"/>
        </w:rPr>
      </w:r>
      <w:r>
        <w:rPr>
          <w:rFonts w:ascii="Arial" w:hAnsi="Arial" w:eastAsia="宋体" w:cs="Arial"/>
          <w:color w:val="000000"/>
          <w:sz w:val="24"/>
          <w:szCs w:val="24"/>
          <w:lang w:val="en-US" w:eastAsia="zh-CN" w:bidi="ar"/>
        </w:rPr>
      </w:r>
    </w:p>
    <w:p>
      <w:pPr>
        <w:pStyle w:val="749"/>
        <w:keepNext w:val="false"/>
        <w:keepLines w:val="false"/>
        <w:widowControl w:val="true"/>
        <w:suppressLineNumbers w:val="false"/>
        <w:pBdr/>
        <w:spacing/>
        <w:ind/>
        <w:jc w:val="left"/>
        <w:rPr>
          <w:rFonts w:ascii="Arial" w:hAnsi="Arial" w:eastAsia="宋体" w:cs="Arial"/>
          <w:color w:val="000000"/>
          <w:sz w:val="24"/>
          <w:szCs w:val="24"/>
          <w:lang w:val="en-US" w:eastAsia="zh-CN" w:bidi="ar"/>
        </w:rPr>
      </w:pPr>
      <w:r>
        <w:rPr>
          <w:rFonts w:ascii="Arial" w:hAnsi="Arial" w:eastAsia="宋体" w:cs="Arial"/>
          <w:color w:val="000000"/>
          <w:sz w:val="24"/>
          <w:szCs w:val="24"/>
          <w:lang w:val="en-US" w:eastAsia="zh-CN" w:bidi="ar"/>
        </w:rPr>
        <w:t xml:space="preserve">Saeli, H., Rahmati, P., &amp; Koltovskaia, S. (2023). Learner Engagement with Written Corrective Feedback: The Case of Automated Writing Evaluation. Journal of Response to Writing, 9(2), 1–39. https://scholarsarchive.byu.edu/journalrw/vol9/iss2/1</w:t>
      </w:r>
      <w:r>
        <w:rPr>
          <w:rFonts w:ascii="Arial" w:hAnsi="Arial" w:eastAsia="宋体" w:cs="Arial"/>
          <w:color w:val="000000"/>
          <w:sz w:val="24"/>
          <w:szCs w:val="24"/>
          <w:lang w:val="en-US" w:eastAsia="zh-CN" w:bidi="ar"/>
        </w:rPr>
      </w:r>
      <w:r>
        <w:rPr>
          <w:rFonts w:ascii="Arial" w:hAnsi="Arial" w:eastAsia="宋体" w:cs="Arial"/>
          <w:color w:val="000000"/>
          <w:sz w:val="24"/>
          <w:szCs w:val="24"/>
          <w:lang w:val="en-US" w:eastAsia="zh-CN" w:bidi="ar"/>
        </w:rPr>
      </w:r>
    </w:p>
    <w:p>
      <w:pPr>
        <w:pStyle w:val="749"/>
        <w:pBdr/>
        <w:spacing w:line="480" w:lineRule="auto"/>
        <w:ind w:firstLine="452"/>
        <w:rPr>
          <w:rFonts w:ascii="HarmonyOS Sans SC" w:hAnsi="HarmonyOS Sans SC" w:eastAsia="HarmonyOS Sans SC" w:cs="HarmonyOS Sans SC"/>
          <w:sz w:val="21"/>
          <w:szCs w:val="21"/>
          <w:lang w:val="en-US" w:eastAsia="zh-CN"/>
        </w:rPr>
      </w:pP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Style w:val="749"/>
        <w:pBdr/>
        <w:spacing w:line="480" w:lineRule="auto"/>
        <w:ind/>
        <w:rPr>
          <w:rFonts w:hint="eastAsia" w:ascii="HarmonyOS Sans SC" w:hAnsi="HarmonyOS Sans SC" w:eastAsia="HarmonyOS Sans SC" w:cs="HarmonyOS Sans SC"/>
          <w:sz w:val="21"/>
          <w:szCs w:val="21"/>
          <w:lang w:val="en-US" w:eastAsia="zh-CN"/>
        </w:rPr>
      </w:pPr>
      <w:r>
        <w:rPr>
          <w:rFonts w:hint="eastAsia" w:ascii="HarmonyOS Sans SC" w:hAnsi="HarmonyOS Sans SC" w:eastAsia="HarmonyOS Sans SC" w:cs="HarmonyOS Sans SC"/>
          <w:sz w:val="21"/>
          <w:szCs w:val="21"/>
          <w:lang w:val="en-US" w:eastAsia="zh-CN"/>
        </w:rPr>
      </w:r>
      <w:r>
        <w:rPr>
          <w:rFonts w:hint="eastAsia" w:ascii="HarmonyOS Sans SC" w:hAnsi="HarmonyOS Sans SC" w:eastAsia="HarmonyOS Sans SC" w:cs="HarmonyOS Sans SC"/>
          <w:sz w:val="21"/>
          <w:szCs w:val="21"/>
          <w:lang w:val="en-US" w:eastAsia="zh-CN"/>
        </w:rPr>
      </w:r>
    </w:p>
    <w:p>
      <w:pPr>
        <w:pStyle w:val="749"/>
        <w:pBdr/>
        <w:spacing w:line="480" w:lineRule="auto"/>
        <w:ind/>
        <w:rPr>
          <w:rFonts w:ascii="HarmonyOS Sans SC" w:hAnsi="HarmonyOS Sans SC" w:eastAsia="HarmonyOS Sans SC" w:cs="HarmonyOS Sans SC"/>
          <w:sz w:val="21"/>
          <w:szCs w:val="21"/>
          <w:lang w:val="en-US" w:eastAsia="zh-CN"/>
        </w:rPr>
        <w:sectPr>
          <w:headerReference w:type="default" r:id="rId9"/>
          <w:headerReference w:type="even" r:id="rId10"/>
          <w:footerReference w:type="even" r:id="rId12"/>
          <w:footnotePr/>
          <w:endnotePr/>
          <w:type w:val="nextPage"/>
          <w:pgSz w:h="16840" w:orient="portrait" w:w="11907"/>
          <w:pgMar w:top="1418" w:right="1418" w:bottom="1418" w:left="1701" w:header="1418" w:footer="851" w:gutter="0"/>
          <w:cols w:num="1" w:sep="0" w:space="1701" w:equalWidth="1"/>
        </w:sectPr>
      </w:pPr>
      <w:r>
        <w:rPr>
          <w:rFonts w:ascii="HarmonyOS Sans SC" w:hAnsi="HarmonyOS Sans SC" w:eastAsia="HarmonyOS Sans SC" w:cs="HarmonyOS Sans SC"/>
          <w:sz w:val="21"/>
          <w:szCs w:val="21"/>
          <w:lang w:val="en-US" w:eastAsia="zh-CN"/>
        </w:rPr>
      </w:r>
      <w:r>
        <w:rPr>
          <w:rFonts w:ascii="HarmonyOS Sans SC" w:hAnsi="HarmonyOS Sans SC" w:eastAsia="HarmonyOS Sans SC" w:cs="HarmonyOS Sans SC"/>
          <w:sz w:val="21"/>
          <w:szCs w:val="21"/>
          <w:lang w:val="en-US" w:eastAsia="zh-CN"/>
        </w:rPr>
      </w:r>
    </w:p>
    <w:p>
      <w:pPr>
        <w:pBdr/>
        <w:spacing/>
        <w:ind/>
        <w:rPr/>
      </w:pPr>
      <w:r/>
    </w:p>
    <w:sectPr>
      <w:headerReference w:type="default" r:id="rId11"/>
      <w:footerReference w:type="default" r:id="rId13"/>
      <w:footnotePr/>
      <w:endnotePr/>
      <w:type w:val="continuous"/>
      <w:pgSz w:h="16840" w:orient="portrait" w:w="11907"/>
      <w:pgMar w:top="426" w:right="1418" w:bottom="426" w:left="1418" w:header="851" w:footer="851"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armonyOS Sans SC">
    <w:panose1 w:val="00000800000000000000"/>
  </w:font>
  <w:font w:name="仿宋_GB2312">
    <w:panose1 w:val="02010609060101010101"/>
  </w:font>
  <w:font w:name="黑体">
    <w:panose1 w:val="02010609060101010101"/>
  </w:font>
  <w:font w:name="Arial">
    <w:panose1 w:val="020B0604020202020204"/>
  </w:font>
  <w:font w:name="宋体">
    <w:panose1 w:val="02010600030101010101"/>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0"/>
      <w:pBdr/>
      <w:tabs>
        <w:tab w:val="center" w:leader="none" w:pos="4153"/>
        <w:tab w:val="right" w:leader="none" w:pos="8306"/>
      </w:tabs>
      <w:spacing/>
      <w:ind w:right="360" w:firstLine="36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0"/>
      <w:pBdr/>
      <w:tabs>
        <w:tab w:val="center" w:leader="none" w:pos="4153"/>
        <w:tab w:val="right" w:leader="none" w:pos="8306"/>
      </w:tabs>
      <w:spacing/>
      <w:ind w:right="360" w:firstLine="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2"/>
      <w:pBdr>
        <w:bottom w:val="none" w:color="000000" w:sz="0" w:space="0"/>
      </w:pBdr>
      <w:tabs>
        <w:tab w:val="center" w:leader="none" w:pos="4153"/>
        <w:tab w:val="right" w:leader="none" w:pos="8306"/>
      </w:tabs>
      <w:spacing/>
      <w:ind/>
      <w:rPr/>
    </w:pPr>
    <w:r>
      <w:fldChar w:fldCharType="begin"/>
    </w:r>
    <w:r>
      <w:instrText xml:space="preserve"> SHAPE  \* MERGEFORMAT </w:instrText>
    </w:r>
    <w:r>
      <w:fldChar w:fldCharType="separate"/>
    </w:r>
    <w:r>
      <mc:AlternateContent>
        <mc:Choice Requires="wpg">
          <w:drawing>
            <wp:inline xmlns:wp="http://schemas.openxmlformats.org/drawingml/2006/wordprocessingDrawing" distT="0" distB="0" distL="0" distR="0">
              <wp:extent cx="3778885" cy="962025"/>
              <wp:effectExtent l="0" t="0" r="0" b="0"/>
              <wp:docPr id="1" name="_x0000_s1028"/>
              <wp:cNvGraphicFramePr/>
              <a:graphic xmlns:a="http://schemas.openxmlformats.org/drawingml/2006/main">
                <a:graphicData uri="http://schemas.microsoft.com/office/word/2010/wordprocessingGroup">
                  <wpg:wgp>
                    <wpg:cNvGrpSpPr/>
                    <wpg:grpSpPr bwMode="auto">
                      <a:xfrm>
                        <a:off x="0" y="0"/>
                        <a:ext cx="3778885" cy="962025"/>
                        <a:chOff x="3780" y="3468"/>
                        <a:chExt cx="4860" cy="1237"/>
                      </a:xfrm>
                    </wpg:grpSpPr>
                    <pic:pic xmlns:pic="http://schemas.openxmlformats.org/drawingml/2006/picture">
                      <pic:nvPicPr>
                        <pic:cNvPr id="2" name=""/>
                        <pic:cNvPicPr/>
                        <pic:nvPr/>
                      </pic:nvPicPr>
                      <pic:blipFill rotWithShape="1">
                        <a:blip r:embed="rId1">
                          <a:extLst>
                            <a:ext uri="{96DAC541-7B7A-43D3-8B79-37D633B846F1}">
                              <asvg:svgBlip xmlns:asvg="http://schemas.microsoft.com/office/drawing/2016/SVG/main" r:embed="rId2"/>
                            </a:ext>
                          </a:extLst>
                        </a:blip>
                        <a:stretch/>
                      </pic:blipFill>
                      <pic:spPr bwMode="auto">
                        <a:xfrm>
                          <a:off x="3960" y="3624"/>
                          <a:ext cx="4680" cy="1014"/>
                        </a:xfrm>
                        <a:prstGeom prst="rect">
                          <a:avLst/>
                        </a:prstGeom>
                        <a:noFill/>
                      </pic:spPr>
                    </pic:pic>
                    <pic:pic xmlns:pic="http://schemas.openxmlformats.org/drawingml/2006/picture">
                      <pic:nvPicPr>
                        <pic:cNvPr id="4" name="" descr="新校徽"/>
                        <pic:cNvPicPr/>
                        <pic:nvPr/>
                      </pic:nvPicPr>
                      <pic:blipFill rotWithShape="1">
                        <a:blip r:embed="rId3"/>
                        <a:stretch/>
                      </pic:blipFill>
                      <pic:spPr bwMode="auto">
                        <a:xfrm>
                          <a:off x="3780" y="3468"/>
                          <a:ext cx="1260" cy="1237"/>
                        </a:xfrm>
                        <a:prstGeom prst="rect">
                          <a:avLst/>
                        </a:prstGeom>
                        <a:noFill/>
                      </pic:spPr>
                    </pic:pic>
                  </wpg:wgp>
                </a:graphicData>
              </a:graphic>
            </wp:inline>
          </w:drawing>
        </mc:Choice>
        <mc:Fallback>
          <w:pict>
            <v:group id="group 0" o:spid="_x0000_s0000" style="width:297.55pt;height:75.75pt;mso-wrap-distance-left:0.00pt;mso-wrap-distance-top:0.00pt;mso-wrap-distance-right:0.00pt;mso-wrap-distance-bottom:0.00pt;" coordorigin="37,34" coordsize="48,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left:39;top:36;width:46;height:10;z-index:1;" stroked="false">
                <v:imagedata r:id="rId1"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left:37;top:34;width:12;height:12;z-index:1;" stroked="false">
                <v:imagedata r:id="rId3" o:title=""/>
                <o:lock v:ext="edit" rotation="t"/>
              </v:shape>
            </v:group>
          </w:pict>
        </mc:Fallback>
      </mc:AlternateContent>
    </w:r>
    <w: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2"/>
      <w:pBdr>
        <w:bottom w:val="none" w:color="000000" w:sz="0" w:space="0"/>
      </w:pBdr>
      <w:tabs>
        <w:tab w:val="center" w:leader="none" w:pos="4153"/>
        <w:tab w:val="right" w:leader="none" w:pos="8306"/>
      </w:tabs>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2"/>
      <w:pBdr>
        <w:bottom w:val="none" w:color="000000" w:sz="0" w:space="0"/>
      </w:pBdr>
      <w:tabs>
        <w:tab w:val="center" w:leader="none" w:pos="4153"/>
        <w:tab w:val="right" w:leader="none" w:pos="8306"/>
      </w:tabs>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7F2A794"/>
    <w:lvl w:ilvl="0">
      <w:isLgl w:val="false"/>
      <w:lvlJc w:val="left"/>
      <w:lvlText w:val="%1."/>
      <w:numFmt w:val="upperLetter"/>
      <w:pPr>
        <w:pBdr/>
        <w:spacing/>
        <w:ind/>
      </w:pPr>
      <w:rPr/>
      <w:start w:val="1"/>
      <w:suff w:val="space"/>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7B8DF48"/>
    <w:lvl w:ilvl="0">
      <w:isLgl w:val="false"/>
      <w:lvlJc w:val="left"/>
      <w:lvlText w:val="%1."/>
      <w:numFmt w:val="upperLetter"/>
      <w:pPr>
        <w:pBdr/>
        <w:spacing/>
        <w:ind/>
      </w:pPr>
      <w:rPr/>
      <w:start w:val="1"/>
      <w:suff w:val="space"/>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56260F29"/>
    <w:lvl w:ilvl="0">
      <w:isLgl w:val="false"/>
      <w:lvlJc w:val="left"/>
      <w:lvlText w:val="%1."/>
      <w:numFmt w:val="upperLetter"/>
      <w:pPr>
        <w:pBdr/>
        <w:spacing/>
        <w:ind/>
      </w:pPr>
      <w:rPr/>
      <w:start w:val="1"/>
      <w:suff w:val="space"/>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49"/>
    <w:next w:val="74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49"/>
    <w:next w:val="74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49"/>
    <w:next w:val="74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49"/>
    <w:next w:val="74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49"/>
    <w:next w:val="74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49"/>
    <w:next w:val="74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49"/>
    <w:next w:val="74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49"/>
    <w:next w:val="74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49"/>
    <w:next w:val="74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749"/>
    <w:next w:val="74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749"/>
    <w:next w:val="749"/>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749"/>
    <w:next w:val="749"/>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749"/>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49"/>
    <w:next w:val="74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49"/>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49"/>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49"/>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49"/>
    <w:next w:val="749"/>
    <w:uiPriority w:val="35"/>
    <w:unhideWhenUsed/>
    <w:qFormat/>
    <w:pPr>
      <w:pBdr/>
      <w:spacing w:after="200" w:line="240" w:lineRule="auto"/>
      <w:ind/>
    </w:pPr>
    <w:rPr>
      <w:i/>
      <w:iCs/>
      <w:color w:val="0e2841" w:themeColor="text2"/>
      <w:sz w:val="18"/>
      <w:szCs w:val="18"/>
    </w:rPr>
  </w:style>
  <w:style w:type="paragraph" w:styleId="181">
    <w:name w:val="footnote text"/>
    <w:basedOn w:val="749"/>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749"/>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49"/>
    <w:next w:val="749"/>
    <w:uiPriority w:val="39"/>
    <w:unhideWhenUsed/>
    <w:pPr>
      <w:pBdr/>
      <w:spacing w:after="100"/>
      <w:ind/>
    </w:pPr>
  </w:style>
  <w:style w:type="paragraph" w:styleId="190">
    <w:name w:val="toc 2"/>
    <w:basedOn w:val="749"/>
    <w:next w:val="749"/>
    <w:uiPriority w:val="39"/>
    <w:unhideWhenUsed/>
    <w:pPr>
      <w:pBdr/>
      <w:spacing w:after="100"/>
      <w:ind w:left="220"/>
    </w:pPr>
  </w:style>
  <w:style w:type="paragraph" w:styleId="191">
    <w:name w:val="toc 3"/>
    <w:basedOn w:val="749"/>
    <w:next w:val="749"/>
    <w:uiPriority w:val="39"/>
    <w:unhideWhenUsed/>
    <w:pPr>
      <w:pBdr/>
      <w:spacing w:after="100"/>
      <w:ind w:left="440"/>
    </w:pPr>
  </w:style>
  <w:style w:type="paragraph" w:styleId="192">
    <w:name w:val="toc 4"/>
    <w:basedOn w:val="749"/>
    <w:next w:val="749"/>
    <w:uiPriority w:val="39"/>
    <w:unhideWhenUsed/>
    <w:pPr>
      <w:pBdr/>
      <w:spacing w:after="100"/>
      <w:ind w:left="660"/>
    </w:pPr>
  </w:style>
  <w:style w:type="paragraph" w:styleId="193">
    <w:name w:val="toc 5"/>
    <w:basedOn w:val="749"/>
    <w:next w:val="749"/>
    <w:uiPriority w:val="39"/>
    <w:unhideWhenUsed/>
    <w:pPr>
      <w:pBdr/>
      <w:spacing w:after="100"/>
      <w:ind w:left="880"/>
    </w:pPr>
  </w:style>
  <w:style w:type="paragraph" w:styleId="194">
    <w:name w:val="toc 6"/>
    <w:basedOn w:val="749"/>
    <w:next w:val="749"/>
    <w:uiPriority w:val="39"/>
    <w:unhideWhenUsed/>
    <w:pPr>
      <w:pBdr/>
      <w:spacing w:after="100"/>
      <w:ind w:left="1100"/>
    </w:pPr>
  </w:style>
  <w:style w:type="paragraph" w:styleId="195">
    <w:name w:val="toc 7"/>
    <w:basedOn w:val="749"/>
    <w:next w:val="749"/>
    <w:uiPriority w:val="39"/>
    <w:unhideWhenUsed/>
    <w:pPr>
      <w:pBdr/>
      <w:spacing w:after="100"/>
      <w:ind w:left="1320"/>
    </w:pPr>
  </w:style>
  <w:style w:type="paragraph" w:styleId="196">
    <w:name w:val="toc 8"/>
    <w:basedOn w:val="749"/>
    <w:next w:val="749"/>
    <w:uiPriority w:val="39"/>
    <w:unhideWhenUsed/>
    <w:pPr>
      <w:pBdr/>
      <w:spacing w:after="100"/>
      <w:ind w:left="1540"/>
    </w:pPr>
  </w:style>
  <w:style w:type="paragraph" w:styleId="197">
    <w:name w:val="toc 9"/>
    <w:basedOn w:val="749"/>
    <w:next w:val="749"/>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49"/>
    <w:next w:val="749"/>
    <w:uiPriority w:val="99"/>
    <w:unhideWhenUsed/>
    <w:pPr>
      <w:pBdr/>
      <w:spacing w:after="0" w:afterAutospacing="0"/>
      <w:ind/>
    </w:pPr>
  </w:style>
  <w:style w:type="paragraph" w:styleId="749" w:default="1">
    <w:name w:val="Normal"/>
    <w:next w:val="749"/>
    <w:link w:val="749"/>
    <w:qFormat/>
    <w:pPr>
      <w:widowControl w:val="false"/>
      <w:pBdr/>
      <w:spacing/>
      <w:ind/>
      <w:jc w:val="both"/>
    </w:pPr>
    <w:rPr>
      <w:sz w:val="21"/>
      <w:szCs w:val="22"/>
      <w:lang w:val="en-US" w:eastAsia="zh-CN" w:bidi="ar-SA"/>
    </w:rPr>
  </w:style>
  <w:style w:type="paragraph" w:styleId="750">
    <w:name w:val="标题 1"/>
    <w:basedOn w:val="749"/>
    <w:next w:val="749"/>
    <w:link w:val="749"/>
    <w:uiPriority w:val="9"/>
    <w:qFormat/>
    <w:pPr>
      <w:keepNext w:val="true"/>
      <w:keepLines w:val="true"/>
      <w:pBdr/>
      <w:spacing w:after="330" w:afterAutospacing="0" w:before="340" w:beforeAutospacing="0" w:line="576" w:lineRule="auto"/>
      <w:ind/>
      <w:outlineLvl w:val="0"/>
    </w:pPr>
    <w:rPr>
      <w:b/>
      <w:sz w:val="44"/>
    </w:rPr>
  </w:style>
  <w:style w:type="paragraph" w:styleId="751">
    <w:name w:val="标题 2"/>
    <w:basedOn w:val="749"/>
    <w:next w:val="749"/>
    <w:link w:val="749"/>
    <w:uiPriority w:val="9"/>
    <w:unhideWhenUsed/>
    <w:qFormat/>
    <w:pPr>
      <w:keepNext w:val="true"/>
      <w:keepLines w:val="true"/>
      <w:pBdr/>
      <w:spacing w:after="260" w:afterAutospacing="0" w:before="260" w:beforeAutospacing="0" w:line="413" w:lineRule="auto"/>
      <w:ind/>
      <w:outlineLvl w:val="1"/>
    </w:pPr>
    <w:rPr>
      <w:rFonts w:ascii="Arial" w:hAnsi="Arial" w:eastAsia="黑体"/>
      <w:b/>
      <w:sz w:val="32"/>
    </w:rPr>
  </w:style>
  <w:style w:type="paragraph" w:styleId="752">
    <w:name w:val="标题 3"/>
    <w:basedOn w:val="749"/>
    <w:next w:val="749"/>
    <w:link w:val="749"/>
    <w:uiPriority w:val="9"/>
    <w:unhideWhenUsed/>
    <w:qFormat/>
    <w:pPr>
      <w:pBdr/>
      <w:spacing w:after="100" w:afterAutospacing="1" w:before="100" w:beforeAutospacing="1"/>
      <w:ind/>
      <w:jc w:val="left"/>
    </w:pPr>
    <w:rPr>
      <w:rFonts w:hint="eastAsia" w:ascii="宋体" w:hAnsi="宋体" w:eastAsia="宋体" w:cs="宋体"/>
      <w:b/>
      <w:bCs/>
      <w:sz w:val="27"/>
      <w:szCs w:val="27"/>
      <w:lang w:val="en-US" w:eastAsia="zh-CN" w:bidi="ar"/>
    </w:rPr>
  </w:style>
  <w:style w:type="paragraph" w:styleId="753">
    <w:name w:val="标题 4"/>
    <w:basedOn w:val="749"/>
    <w:next w:val="749"/>
    <w:link w:val="749"/>
    <w:uiPriority w:val="9"/>
    <w:unhideWhenUsed/>
    <w:qFormat/>
    <w:pPr>
      <w:pBdr/>
      <w:spacing w:after="100" w:afterAutospacing="1" w:before="100" w:beforeAutospacing="1"/>
      <w:ind/>
      <w:jc w:val="left"/>
    </w:pPr>
    <w:rPr>
      <w:rFonts w:hint="eastAsia" w:ascii="宋体" w:hAnsi="宋体" w:eastAsia="宋体" w:cs="宋体"/>
      <w:b/>
      <w:bCs/>
      <w:sz w:val="24"/>
      <w:szCs w:val="24"/>
      <w:lang w:val="en-US" w:eastAsia="zh-CN" w:bidi="ar"/>
    </w:rPr>
  </w:style>
  <w:style w:type="character" w:styleId="754">
    <w:name w:val="默认段落字体"/>
    <w:next w:val="754"/>
    <w:link w:val="749"/>
    <w:uiPriority w:val="1"/>
    <w:unhideWhenUsed/>
    <w:pPr>
      <w:pBdr/>
      <w:spacing/>
      <w:ind/>
    </w:pPr>
  </w:style>
  <w:style w:type="table" w:styleId="755">
    <w:name w:val="普通表格"/>
    <w:next w:val="755"/>
    <w:link w:val="749"/>
    <w:uiPriority w:val="99"/>
    <w:unhideWhenUsed/>
    <w:qFormat/>
    <w:pPr>
      <w:pBdr/>
      <w:spacing/>
      <w:ind/>
    </w:pPr>
    <w:tblPr>
      <w:tblW w:w="0" w:type="auto"/>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56">
    <w:name w:val="正文文本缩进 2"/>
    <w:basedOn w:val="749"/>
    <w:next w:val="756"/>
    <w:link w:val="757"/>
    <w:pPr>
      <w:pBdr/>
      <w:spacing/>
      <w:ind w:firstLine="435"/>
    </w:pPr>
    <w:rPr>
      <w:rFonts w:ascii="Times New Roman" w:hAnsi="Times New Roman" w:eastAsia="宋体" w:cs="Times New Roman"/>
      <w:szCs w:val="24"/>
    </w:rPr>
  </w:style>
  <w:style w:type="character" w:styleId="757">
    <w:name w:val="正文文本缩进 2 Char"/>
    <w:next w:val="757"/>
    <w:link w:val="756"/>
    <w:pPr>
      <w:pBdr/>
      <w:spacing/>
      <w:ind/>
    </w:pPr>
    <w:rPr>
      <w:rFonts w:ascii="Times New Roman" w:hAnsi="Times New Roman" w:eastAsia="宋体" w:cs="Times New Roman"/>
      <w:szCs w:val="24"/>
    </w:rPr>
  </w:style>
  <w:style w:type="paragraph" w:styleId="758">
    <w:name w:val="批注框文本"/>
    <w:basedOn w:val="749"/>
    <w:next w:val="758"/>
    <w:link w:val="759"/>
    <w:uiPriority w:val="99"/>
    <w:unhideWhenUsed/>
    <w:pPr>
      <w:pBdr/>
      <w:spacing/>
      <w:ind/>
    </w:pPr>
    <w:rPr>
      <w:sz w:val="18"/>
      <w:szCs w:val="18"/>
    </w:rPr>
  </w:style>
  <w:style w:type="character" w:styleId="759">
    <w:name w:val="批注框文本 Char"/>
    <w:next w:val="759"/>
    <w:link w:val="758"/>
    <w:uiPriority w:val="99"/>
    <w:semiHidden/>
    <w:pPr>
      <w:pBdr/>
      <w:spacing/>
      <w:ind/>
    </w:pPr>
    <w:rPr>
      <w:sz w:val="18"/>
      <w:szCs w:val="18"/>
    </w:rPr>
  </w:style>
  <w:style w:type="paragraph" w:styleId="760">
    <w:name w:val="页脚"/>
    <w:basedOn w:val="749"/>
    <w:next w:val="760"/>
    <w:link w:val="761"/>
    <w:unhideWhenUsed/>
    <w:pPr>
      <w:pBdr/>
      <w:tabs>
        <w:tab w:val="center" w:leader="none" w:pos="4153"/>
        <w:tab w:val="right" w:leader="none" w:pos="8306"/>
      </w:tabs>
      <w:spacing/>
      <w:ind/>
      <w:jc w:val="left"/>
    </w:pPr>
    <w:rPr>
      <w:sz w:val="18"/>
      <w:szCs w:val="18"/>
    </w:rPr>
  </w:style>
  <w:style w:type="character" w:styleId="761">
    <w:name w:val="页脚 Char"/>
    <w:next w:val="761"/>
    <w:link w:val="760"/>
    <w:uiPriority w:val="99"/>
    <w:semiHidden/>
    <w:pPr>
      <w:pBdr/>
      <w:spacing/>
      <w:ind/>
    </w:pPr>
    <w:rPr>
      <w:sz w:val="18"/>
      <w:szCs w:val="18"/>
    </w:rPr>
  </w:style>
  <w:style w:type="paragraph" w:styleId="762">
    <w:name w:val="页眉"/>
    <w:basedOn w:val="749"/>
    <w:next w:val="762"/>
    <w:link w:val="763"/>
    <w:unhideWhenUsed/>
    <w:pPr>
      <w:pBdr>
        <w:bottom w:val="single" w:color="000000" w:sz="6" w:space="1"/>
      </w:pBdr>
      <w:tabs>
        <w:tab w:val="center" w:leader="none" w:pos="4153"/>
        <w:tab w:val="right" w:leader="none" w:pos="8306"/>
      </w:tabs>
      <w:spacing/>
      <w:ind/>
      <w:jc w:val="center"/>
    </w:pPr>
    <w:rPr>
      <w:sz w:val="18"/>
      <w:szCs w:val="18"/>
    </w:rPr>
  </w:style>
  <w:style w:type="character" w:styleId="763">
    <w:name w:val="页眉 Char"/>
    <w:next w:val="763"/>
    <w:link w:val="762"/>
    <w:uiPriority w:val="99"/>
    <w:semiHidden/>
    <w:pPr>
      <w:pBdr/>
      <w:spacing/>
      <w:ind/>
    </w:pPr>
    <w:rPr>
      <w:sz w:val="18"/>
      <w:szCs w:val="18"/>
    </w:rPr>
  </w:style>
  <w:style w:type="paragraph" w:styleId="764">
    <w:name w:val="普通(网站)"/>
    <w:basedOn w:val="749"/>
    <w:next w:val="764"/>
    <w:link w:val="749"/>
    <w:uiPriority w:val="99"/>
    <w:unhideWhenUsed/>
    <w:pPr>
      <w:pBdr/>
      <w:spacing/>
      <w:ind/>
    </w:pPr>
    <w:rPr>
      <w:sz w:val="24"/>
    </w:rPr>
  </w:style>
  <w:style w:type="character" w:styleId="765">
    <w:name w:val="要点"/>
    <w:basedOn w:val="754"/>
    <w:next w:val="765"/>
    <w:link w:val="749"/>
    <w:uiPriority w:val="22"/>
    <w:qFormat/>
    <w:pPr>
      <w:pBdr/>
      <w:spacing/>
      <w:ind/>
    </w:pPr>
    <w:rPr>
      <w:b/>
    </w:rPr>
  </w:style>
  <w:style w:type="character" w:styleId="766">
    <w:name w:val="页码"/>
    <w:basedOn w:val="754"/>
    <w:next w:val="766"/>
    <w:link w:val="749"/>
    <w:pPr>
      <w:pBdr/>
      <w:spacing/>
      <w:ind/>
    </w:pPr>
  </w:style>
  <w:style w:type="paragraph" w:styleId="767">
    <w:name w:val="列出段落"/>
    <w:basedOn w:val="749"/>
    <w:next w:val="767"/>
    <w:link w:val="749"/>
    <w:uiPriority w:val="34"/>
    <w:qFormat/>
    <w:pPr>
      <w:pBdr/>
      <w:spacing/>
      <w:ind w:firstLine="42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media1.svg"/><Relationship Id="rId3" Type="http://schemas.openxmlformats.org/officeDocument/2006/relationships/image" Target="media/image2.jp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Template>
  <Application>ONLYOFFICE/9.2.1.43</Application>
  <DocSecurity>0</DocSecurity>
  <ScaleCrop>0</ScaleCrop>
  <HeadingPairs>
    <vt:vector size="0" baseType="variant"/>
  </HeadingPairs>
  <TitlesOfParts>
    <vt:vector size="0" baseType="lpstr"/>
  </TitlesOfParts>
  <Company>微软</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FtpD</dc:creator>
  <cp:revision>5</cp:revision>
  <dcterms:created xsi:type="dcterms:W3CDTF">2022-11-24T09:51:00Z</dcterms:created>
  <dcterms:modified xsi:type="dcterms:W3CDTF">2026-01-18T19:40:11Z</dcterms:modified>
</cp:coreProperties>
</file>