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7023" w14:textId="77777777" w:rsidR="00682797" w:rsidRPr="00682797" w:rsidRDefault="005B4C9B" w:rsidP="00682797">
      <w:pPr>
        <w:rPr>
          <w:b/>
          <w:bCs/>
        </w:rPr>
      </w:pPr>
      <w:r>
        <w:t>2</w:t>
      </w:r>
      <w:r w:rsidR="00EF5F5A">
        <w:t>2</w:t>
      </w:r>
      <w:r>
        <w:t>/04/2026</w:t>
      </w:r>
      <w:r>
        <w:br/>
      </w:r>
      <w:r>
        <w:br/>
      </w:r>
      <w:r w:rsidR="00682797" w:rsidRPr="00682797">
        <w:rPr>
          <w:b/>
          <w:bCs/>
        </w:rPr>
        <w:t>Durante esta fase he trabajado en una mejora orientada a hacer más clara la forma de uso del TPV en función del tipo de producto seleccionado. Aunque la lógica interna ya diferenciaba entre productos vendidos por peso y productos vendidos por unidad, visualmente esa diferencia todavía podía resultar poco evidente para el usuario. Por eso, en este paso me he centrado en reforzar esa distinción dentro de la propia interfaz.</w:t>
      </w:r>
    </w:p>
    <w:p w14:paraId="12049861" w14:textId="77777777" w:rsidR="00682797" w:rsidRPr="00682797" w:rsidRDefault="00682797" w:rsidP="00682797">
      <w:pPr>
        <w:rPr>
          <w:b/>
          <w:bCs/>
        </w:rPr>
      </w:pPr>
      <w:r w:rsidRPr="00682797">
        <w:rPr>
          <w:b/>
          <w:bCs/>
        </w:rPr>
        <w:t>Lo primero que he hecho ha sido añadir una referencia visual directa en cada tarjeta de producto para indicar su tipo de venta. De esta forma, cada producto muestra si se gestiona por kilo o por unidad, lo que permite identificar de manera inmediata cómo se va a comportar al ser seleccionado.</w:t>
      </w:r>
    </w:p>
    <w:p w14:paraId="5556746A" w14:textId="77777777" w:rsidR="00682797" w:rsidRPr="00682797" w:rsidRDefault="00682797" w:rsidP="00682797">
      <w:pPr>
        <w:rPr>
          <w:b/>
          <w:bCs/>
        </w:rPr>
      </w:pPr>
      <w:r w:rsidRPr="00682797">
        <w:rPr>
          <w:b/>
          <w:bCs/>
        </w:rPr>
        <w:t>Además, he adaptado el campo superior del TPV para que su presentación cambie en función del modo actual de uso. A partir de este ajuste, el input ya no se muestra siempre con la misma etiqueta, sino que pasa a reflejar si el valor introducido se interpretará como peso en kilogramos o como cantidad en unidades. Con ello, el usuario recibe una indicación mucho más clara antes de realizar la selección.</w:t>
      </w:r>
    </w:p>
    <w:p w14:paraId="70BCE2AB" w14:textId="77777777" w:rsidR="00682797" w:rsidRPr="00682797" w:rsidRDefault="00682797" w:rsidP="00682797">
      <w:pPr>
        <w:rPr>
          <w:b/>
          <w:bCs/>
        </w:rPr>
      </w:pPr>
      <w:r w:rsidRPr="00682797">
        <w:rPr>
          <w:b/>
          <w:bCs/>
        </w:rPr>
        <w:t>También he añadido un texto de apoyo junto al área del input para explicar cómo se aplicará el valor introducido según el tipo de producto activo. Este refuerzo visual mejora la comprensión general del TPV y hace que el uso resulte más intuitivo, especialmente en aquellos casos en los que conviven productos vendidos de formas distintas dentro de la misma interfaz.</w:t>
      </w:r>
    </w:p>
    <w:p w14:paraId="1950A3FF" w14:textId="77777777" w:rsidR="00682797" w:rsidRPr="00682797" w:rsidRDefault="00682797" w:rsidP="00682797">
      <w:pPr>
        <w:rPr>
          <w:b/>
          <w:bCs/>
        </w:rPr>
      </w:pPr>
      <w:r w:rsidRPr="00682797">
        <w:rPr>
          <w:b/>
          <w:bCs/>
        </w:rPr>
        <w:t>Con esta mejora, el proyecto no solo mantiene su funcionamiento correcto, sino que gana claridad en la experiencia de uso. El TPV sigue siendo fiel a la base visual ya construida, pero ahora comunica mejor al usuario cómo debe interactuar con cada tipo de producto.</w:t>
      </w:r>
    </w:p>
    <w:p w14:paraId="45B03A70" w14:textId="77777777" w:rsidR="00682797" w:rsidRPr="00682797" w:rsidRDefault="00682797" w:rsidP="00682797">
      <w:pPr>
        <w:rPr>
          <w:b/>
          <w:bCs/>
        </w:rPr>
      </w:pPr>
      <w:r w:rsidRPr="00682797">
        <w:rPr>
          <w:b/>
          <w:bCs/>
        </w:rPr>
        <w:t>Una vez completado el ajuste, he validado el proyecto para asegurar que todos los cambios seguían integrados correctamente y que la aplicación continuaba compilando sin errores.</w:t>
      </w:r>
    </w:p>
    <w:p w14:paraId="0D05FF4E" w14:textId="14BEBB7F" w:rsidR="00EF5F5A" w:rsidRPr="00EF5F5A" w:rsidRDefault="00EF5F5A" w:rsidP="00EF5F5A">
      <w:pPr>
        <w:rPr>
          <w:b/>
          <w:bCs/>
        </w:rPr>
      </w:pPr>
    </w:p>
    <w:p w14:paraId="547DE545" w14:textId="7B4A58DE" w:rsidR="00456D3D" w:rsidRPr="00EF5F5A" w:rsidRDefault="00456D3D" w:rsidP="00EF5F5A">
      <w:pPr>
        <w:ind w:left="720"/>
        <w:rPr>
          <w:b/>
          <w:bCs/>
        </w:rPr>
      </w:pPr>
    </w:p>
    <w:sectPr w:rsidR="00456D3D" w:rsidRPr="00EF5F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B521E"/>
    <w:multiLevelType w:val="multilevel"/>
    <w:tmpl w:val="4224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564447"/>
    <w:multiLevelType w:val="multilevel"/>
    <w:tmpl w:val="2D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7613023">
    <w:abstractNumId w:val="1"/>
  </w:num>
  <w:num w:numId="2" w16cid:durableId="78978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9B"/>
    <w:rsid w:val="003A199B"/>
    <w:rsid w:val="00456D3D"/>
    <w:rsid w:val="005B4C9B"/>
    <w:rsid w:val="00682797"/>
    <w:rsid w:val="00DC3083"/>
    <w:rsid w:val="00EF5F5A"/>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16E7"/>
  <w15:chartTrackingRefBased/>
  <w15:docId w15:val="{FFD65C4D-696A-4334-B35C-56E221B4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4C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4C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4C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4C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C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C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C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C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4C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4C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4C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C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C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C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C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C9B"/>
    <w:rPr>
      <w:rFonts w:eastAsiaTheme="majorEastAsia" w:cstheme="majorBidi"/>
      <w:color w:val="272727" w:themeColor="text1" w:themeTint="D8"/>
    </w:rPr>
  </w:style>
  <w:style w:type="paragraph" w:styleId="Ttulo">
    <w:name w:val="Title"/>
    <w:basedOn w:val="Normal"/>
    <w:next w:val="Normal"/>
    <w:link w:val="TtuloCar"/>
    <w:uiPriority w:val="10"/>
    <w:qFormat/>
    <w:rsid w:val="005B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C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C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C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C9B"/>
    <w:pPr>
      <w:spacing w:before="160"/>
      <w:jc w:val="center"/>
    </w:pPr>
    <w:rPr>
      <w:i/>
      <w:iCs/>
      <w:color w:val="404040" w:themeColor="text1" w:themeTint="BF"/>
    </w:rPr>
  </w:style>
  <w:style w:type="character" w:customStyle="1" w:styleId="CitaCar">
    <w:name w:val="Cita Car"/>
    <w:basedOn w:val="Fuentedeprrafopredeter"/>
    <w:link w:val="Cita"/>
    <w:uiPriority w:val="29"/>
    <w:rsid w:val="005B4C9B"/>
    <w:rPr>
      <w:i/>
      <w:iCs/>
      <w:color w:val="404040" w:themeColor="text1" w:themeTint="BF"/>
    </w:rPr>
  </w:style>
  <w:style w:type="paragraph" w:styleId="Prrafodelista">
    <w:name w:val="List Paragraph"/>
    <w:basedOn w:val="Normal"/>
    <w:uiPriority w:val="34"/>
    <w:qFormat/>
    <w:rsid w:val="005B4C9B"/>
    <w:pPr>
      <w:ind w:left="720"/>
      <w:contextualSpacing/>
    </w:pPr>
  </w:style>
  <w:style w:type="character" w:styleId="nfasisintenso">
    <w:name w:val="Intense Emphasis"/>
    <w:basedOn w:val="Fuentedeprrafopredeter"/>
    <w:uiPriority w:val="21"/>
    <w:qFormat/>
    <w:rsid w:val="005B4C9B"/>
    <w:rPr>
      <w:i/>
      <w:iCs/>
      <w:color w:val="0F4761" w:themeColor="accent1" w:themeShade="BF"/>
    </w:rPr>
  </w:style>
  <w:style w:type="paragraph" w:styleId="Citadestacada">
    <w:name w:val="Intense Quote"/>
    <w:basedOn w:val="Normal"/>
    <w:next w:val="Normal"/>
    <w:link w:val="CitadestacadaCar"/>
    <w:uiPriority w:val="30"/>
    <w:qFormat/>
    <w:rsid w:val="005B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4C9B"/>
    <w:rPr>
      <w:i/>
      <w:iCs/>
      <w:color w:val="0F4761" w:themeColor="accent1" w:themeShade="BF"/>
    </w:rPr>
  </w:style>
  <w:style w:type="character" w:styleId="Referenciaintensa">
    <w:name w:val="Intense Reference"/>
    <w:basedOn w:val="Fuentedeprrafopredeter"/>
    <w:uiPriority w:val="32"/>
    <w:qFormat/>
    <w:rsid w:val="005B4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299</Words>
  <Characters>1650</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2026-04-22T12:49:00Z</dcterms:created>
  <dcterms:modified xsi:type="dcterms:W3CDTF">2026-04-22T12:49:00Z</dcterms:modified>
</cp:coreProperties>
</file>