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408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4080"/>
          <w:sz w:val="26"/>
          <w:szCs w:val="26"/>
          <w:u w:val="none"/>
          <w:shd w:fill="auto" w:val="clear"/>
          <w:vertAlign w:val="baseline"/>
          <w:rtl w:val="0"/>
        </w:rPr>
        <w:t xml:space="preserve">Plantilla análisis de casos de uso: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3.0" w:type="dxa"/>
        <w:jc w:val="left"/>
        <w:tblInd w:w="108.0" w:type="dxa"/>
        <w:tblLayout w:type="fixed"/>
        <w:tblLook w:val="0000"/>
      </w:tblPr>
      <w:tblGrid>
        <w:gridCol w:w="3204"/>
        <w:gridCol w:w="1597"/>
        <w:gridCol w:w="4802"/>
        <w:tblGridChange w:id="0">
          <w:tblGrid>
            <w:gridCol w:w="3204"/>
            <w:gridCol w:w="1597"/>
            <w:gridCol w:w="48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Inscripción de las credenciales de un usuario para el posterior uso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Usuario no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Usuario queda registrado en la base de datos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Tomás Manuel García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principal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administrador interacciona con la aplicación solicitando registrar un nuevo usuario.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contextualSpacing w:val="0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solicita un “nickname” y/o correo electrónico, contraseña y datos personales completos del usuario.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contextualSpacing w:val="0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administrador introduce los datos requeridos 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contextualSpacing w:val="0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comprueba si el “nickname” y/o el correo electrónico no se encuentran registrados previamente.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0" w:right="0" w:hanging="260"/>
              <w:contextualSpacing w:val="0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completa el registro mostrando una ventana emergente.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No se introducen ciertos datos que dependiendo de su obligatoriedad mostrará un  error o no.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3.a.1. El sistema mostrará en rojo los campos necesarios para el registro.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3.a.2. El administrador introduce los datos faltantes.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4.a. Ciertos campos introducidos se encuentran registrados previamente.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4.a.1. El sistema mostrará en rojo los campos registrados con anterioridad.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4.a.2. El administrador deberá cambiar dichos campos.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Clases de análisis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Clases de 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Usuario,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Clases de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isAdmin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Clases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Formulario, AddUsuario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Maquetas de interfaz</w:t>
            </w:r>
          </w:p>
        </w:tc>
      </w:tr>
      <w:tr>
        <w:trPr>
          <w:trHeight w:val="77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secuencia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78.0" w:type="dxa"/>
        <w:tblLayout w:type="fixed"/>
        <w:tblLook w:val="0000"/>
      </w:tblPr>
      <w:tblGrid>
        <w:gridCol w:w="3240"/>
        <w:gridCol w:w="1590"/>
        <w:gridCol w:w="4800"/>
        <w:tblGridChange w:id="0">
          <w:tblGrid>
            <w:gridCol w:w="3240"/>
            <w:gridCol w:w="1590"/>
            <w:gridCol w:w="48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 borrarán todos los datos del usuario en cuestión dentro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Debe existir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 base de datos no tiene los datos de dicho usuario y el mismo deja de tener acceso a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Autor(es)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Tomás Manuel García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Control de cambios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Escenario principal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2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administrador busca en la plataforma el usuario en cuestión a través de una barra de búsqueda donde se podrá filtrar por nombre, apellidos y DNI/ID.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2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da una lista de los usuarios que tengan coincidencia de búsqueda, si fuera por DNI/ID debería aparecer un único usuario ya que es un dato único, además se podrá acceder a la ficha individual de cada usuario con la búsqueda mencionada.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2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administrador selecciona qué usuario o usuarios quiere eliminar, mediante una casilla, y posteriormente hace click en un botón “Eliminar”.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2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muestra una ventana de confirmación con “Continuar” y “Cancelar”.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2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administrador selecciona “Continuar” previamente descrito.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2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realiza la completa eliminación del usuario o usuarios seleccionados.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Escenario alternativo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1.a. El usuario buscado no se encuentra en la base de datos.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1.a.1. El sistema mostrará un mensaje de error diciendo que hay ningún resultado.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1.a.2. El administrador acepta el mensaje y puede realizar una nueva búsqueda.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2.a. El usuario no selecciona ningún usuario.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2.a.1. El sistema no habilita el botón “Eliminar”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3.a. El sistema muestra un error porque el usuario o usuarios seleccionados ya han sido eliminados (por otro administrador).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3.a.1. El administrador acepta el mensaje de error.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6.a. El sistema no consigue finalizar la eliminación, debido a un fallo de conexión o de la propia plataforma.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6.a.1. El sistema muestra un error con el por qué del fallo.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6.a.2. El administrador acepta el error y puede volver a realizar la eliminación, se mantienen los usuarios seleccionados.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Clases de análisis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Helvetica Neue" w:cs="Helvetica Neue" w:eastAsia="Helvetica Neue" w:hAnsi="Helvetica Neue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rtl w:val="0"/>
              </w:rPr>
              <w:t xml:space="preserve">A. Clases de 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Usuario,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Helvetica Neue" w:cs="Helvetica Neue" w:eastAsia="Helvetica Neue" w:hAnsi="Helvetica Neue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rtl w:val="0"/>
              </w:rPr>
              <w:t xml:space="preserve">B. Clases de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isAdmin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Helvetica Neue" w:cs="Helvetica Neue" w:eastAsia="Helvetica Neue" w:hAnsi="Helvetica Neue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rtl w:val="0"/>
              </w:rPr>
              <w:t xml:space="preserve">C. Clases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ViewUsuarios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Maquetas de interfaz</w:t>
            </w:r>
          </w:p>
        </w:tc>
      </w:tr>
      <w:tr>
        <w:trPr>
          <w:trHeight w:val="77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Diagramas de secuencia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78.0" w:type="dxa"/>
        <w:tblLayout w:type="fixed"/>
        <w:tblLook w:val="0000"/>
      </w:tblPr>
      <w:tblGrid>
        <w:gridCol w:w="3240"/>
        <w:gridCol w:w="1590"/>
        <w:gridCol w:w="4800"/>
        <w:tblGridChange w:id="0">
          <w:tblGrid>
            <w:gridCol w:w="3240"/>
            <w:gridCol w:w="1590"/>
            <w:gridCol w:w="48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Iniciar Sesion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 usuario procede a entrar en la plataforma con su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Debe existir el usuario dentro de la base de datos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usuario inicia sesión en la plataforma 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Autor(es)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Tomás Manuel García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Control de cambios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Escenario principal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425.19685039370086" w:hanging="360"/>
              <w:contextualSpacing w:val="1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muestra dos recuadros con “Email/Nickname” y “Contraseña”, y un botón “Iniciar”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ind w:left="425.19685039370086" w:hanging="360"/>
              <w:contextualSpacing w:val="1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usuario procede a introducir sus datos “Email/Nickname” y “Contraseña”, para posteriormente pulsar “Iniciar”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425.19685039370086" w:hanging="360"/>
              <w:contextualSpacing w:val="1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sistema recarga la interfaz para cambiar la zona donde se encontraban los recuadros iniciales por el nombre del usuario, un botón “Perfil” con el cual accedes al perfil del usuario y otro botón con “Cerrar Sesión” con el cual volvemos al escenario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Escenario alternativo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2.a. El usuario introduce los datos incorrectamente.</w:t>
            </w:r>
          </w:p>
          <w:p w:rsidR="00000000" w:rsidDel="00000000" w:rsidP="00000000" w:rsidRDefault="00000000" w:rsidRPr="00000000" w14:paraId="000000D6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2.a.1. El sistema mostrará un error con el mensaje “Ha fallado la autenticación de usuario, por favor vuelva a introducir su email o nickname y contraseña correctamente”.</w:t>
            </w:r>
          </w:p>
          <w:p w:rsidR="00000000" w:rsidDel="00000000" w:rsidP="00000000" w:rsidRDefault="00000000" w:rsidRPr="00000000" w14:paraId="000000D7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2.a.2. El usuario acepta el mensaje y puede volver a introducir los datos.</w:t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2.a.3. El sistema muestra en rojo los campos “Email/Nickname” y “Contraseña”</w:t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2.b. El usuario no introduce todos los datos.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2.b.1. El sistema mostrará un error con el mensaje “No se han completado todos los campos para el inicio de sesión, por favor introdúzcalos”.</w:t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2.b.2. El usuario acepta el mensaje y puede volver a introducir los datos.</w:t>
            </w:r>
          </w:p>
          <w:p w:rsidR="00000000" w:rsidDel="00000000" w:rsidP="00000000" w:rsidRDefault="00000000" w:rsidRPr="00000000" w14:paraId="000000DC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2.b.3. El sistema muestra el campo o los campos no rellenados en rojo.</w:t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3.a. El sistema, además, muestra la barra de búsqueda, una opción para ver el balance económico y demás opciones, dependiendo si el usuario que inicia sesión es administrador, responsable económico o coordinador.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Clases de análisis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Helvetica Neue" w:cs="Helvetica Neue" w:eastAsia="Helvetica Neue" w:hAnsi="Helvetica Neue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rtl w:val="0"/>
              </w:rPr>
              <w:t xml:space="preserve">A. Clases de 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Usuario,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Helvetica Neue" w:cs="Helvetica Neue" w:eastAsia="Helvetica Neue" w:hAnsi="Helvetica Neue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rtl w:val="0"/>
              </w:rPr>
              <w:t xml:space="preserve">B. Clases de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CheckRol, IniciaSesión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Helvetica Neue" w:cs="Helvetica Neue" w:eastAsia="Helvetica Neue" w:hAnsi="Helvetica Neue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080"/>
                <w:rtl w:val="0"/>
              </w:rPr>
              <w:t xml:space="preserve">C. Clases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ViewInterface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Maquetas de interfaz</w:t>
            </w:r>
          </w:p>
        </w:tc>
      </w:tr>
      <w:tr>
        <w:trPr>
          <w:trHeight w:val="77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Helvetica Neue" w:cs="Helvetica Neue" w:eastAsia="Helvetica Neue" w:hAnsi="Helvetica Neue"/>
                <w:b w:val="1"/>
                <w:color w:val="004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4080"/>
                <w:rtl w:val="0"/>
              </w:rPr>
              <w:t xml:space="preserve">Diagramas de secuencia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40" w:w="11900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0" w:firstLine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60" w:firstLine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0" w:firstLine="10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60" w:firstLine="144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2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6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6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60" w:firstLine="28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0" w:firstLine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60" w:firstLine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0" w:firstLine="10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60" w:firstLine="144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2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6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6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60" w:firstLine="28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