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6C" w:rsidRPr="003E3C69" w:rsidRDefault="000665D1" w:rsidP="003E3C6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E3C69">
        <w:rPr>
          <w:rFonts w:ascii="Times New Roman" w:hAnsi="Times New Roman" w:cs="Times New Roman"/>
          <w:b/>
          <w:sz w:val="56"/>
          <w:szCs w:val="56"/>
        </w:rPr>
        <w:t>Resumen</w:t>
      </w:r>
    </w:p>
    <w:p w:rsidR="000665D1" w:rsidRPr="003E3C69" w:rsidRDefault="000665D1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3E3C6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Herramientas matemáticas para la localización espacial</w:t>
      </w:r>
    </w:p>
    <w:p w:rsidR="000665D1" w:rsidRDefault="000665D1">
      <w:r>
        <w:t>Para que el robot pueda realizar las tareas de manipulación que le son encomendadas  es necesario que conozca la posición y orientación de los elementos a manipular con respecto a  la base del robot. Se entiende entonces que la necesidad de contar con una serie de herramientas matemáticas que permitan especificar la posición y orientación en el espacio de piezas, herramientas y, en general, de cualquier objeto.</w:t>
      </w:r>
    </w:p>
    <w:p w:rsidR="000665D1" w:rsidRPr="003E3C69" w:rsidRDefault="000665D1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3E3C6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Representación de la posición </w:t>
      </w:r>
    </w:p>
    <w:p w:rsidR="000665D1" w:rsidRDefault="000665D1">
      <w:r>
        <w:t xml:space="preserve">La localización de un cuerpo rígido en el espacio precisa de especificar tanto su posición como su orientación. Ambos deben ser establecidos en relación a un sistema de referencia definido, pudiéndose hacer uso </w:t>
      </w:r>
      <w:r w:rsidR="005F4FFC">
        <w:t>de diferentes modos o herramientas para especificar la relación entre la posición y orientación del cuerpo rígido y los sistemas de referencia.</w:t>
      </w:r>
    </w:p>
    <w:p w:rsidR="005F4FFC" w:rsidRPr="003E3C69" w:rsidRDefault="005F4FFC">
      <w:pPr>
        <w:rPr>
          <w:rFonts w:ascii="Times New Roman" w:hAnsi="Times New Roman" w:cs="Times New Roman"/>
          <w:b/>
          <w:sz w:val="32"/>
          <w:szCs w:val="32"/>
        </w:rPr>
      </w:pPr>
      <w:r w:rsidRPr="003E3C6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Representación de la orientación</w:t>
      </w:r>
    </w:p>
    <w:p w:rsidR="005F4FFC" w:rsidRDefault="005F4FFC">
      <w:r>
        <w:t>Un punto queda totalmente definido en el espacio a través de los datos de su posición. Una orientación en el espacio tridimensional viene definida por tres grados de libertad o tres componentes linealmente independientes. De forma general esta relación vendrá dada por la posición y orientación del sistema asociado al objeto respecto al de referencia. Para el análisis de los distintos métodos de representar orientaciones se supondrá que ambos sistemas coinciden en el origen, y que por tanto, no existe cambio alguno de su posición entre ellos.</w:t>
      </w:r>
    </w:p>
    <w:p w:rsidR="005F4FFC" w:rsidRPr="003E3C69" w:rsidRDefault="005F4FFC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3E3C6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Matrices de transformación homogénea </w:t>
      </w:r>
    </w:p>
    <w:p w:rsidR="005F4FFC" w:rsidRDefault="005F4FFC">
      <w:r>
        <w:t>En los epígrafes anteriores se han estudiado distintos métodos de representar la posición o la orienta</w:t>
      </w:r>
      <w:r w:rsidR="00593DCF">
        <w:t xml:space="preserve">ción de un sólido en el espacio. Pero ninguno de estos métodos por si solo permite una representación conjunta de la posición y de la orientación (localización). Las matrices de transformación homogénea, permiten esta transformación conjunta, facilitando su uso mediante el </w:t>
      </w:r>
      <w:r w:rsidR="003E3C69">
        <w:t>álgebra</w:t>
      </w:r>
      <w:r w:rsidR="00593DCF">
        <w:t xml:space="preserve"> matricial.</w:t>
      </w:r>
    </w:p>
    <w:p w:rsidR="00593DCF" w:rsidRPr="003E3C69" w:rsidRDefault="00593DCF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3E3C6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Aplicación de los cuartenios</w:t>
      </w:r>
    </w:p>
    <w:p w:rsidR="00593DCF" w:rsidRDefault="00593DCF">
      <w:r>
        <w:t>Un cuartenio está conformado por cuatro componentes (q0</w:t>
      </w:r>
      <w:r w:rsidR="003E3C69">
        <w:t>, q1, q2, q3</w:t>
      </w:r>
      <w:r>
        <w:t>) que representan las coordenadas del cuartenio en una base [e</w:t>
      </w:r>
      <w:r w:rsidR="003E3C69">
        <w:t>, i, j, k</w:t>
      </w:r>
      <w:r>
        <w:t>]. Sobre los elementos de la base se define una ley de composición interna (producto). De este modo los cuartenios forman un grupo cíclico de orden cuatro. A continuación, se describen algunas propiedades útiles de los cuartenios a la hora de su utilización para realizar transformaciones.</w:t>
      </w:r>
    </w:p>
    <w:p w:rsidR="00593DCF" w:rsidRPr="003E3C69" w:rsidRDefault="00593DCF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3E3C6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lastRenderedPageBreak/>
        <w:t>Relación y comparación entre los distintos métodos de localización espacial</w:t>
      </w:r>
    </w:p>
    <w:p w:rsidR="00593DCF" w:rsidRDefault="00593DCF">
      <w:r>
        <w:t xml:space="preserve">En los epígrafes anteriores se han explicado una serie de métodos </w:t>
      </w:r>
      <w:r w:rsidR="00462021">
        <w:t xml:space="preserve">para poder utilizar la localización espacial de un sólido y de un sistema de referencia asociado. Cada uno de ellos representa una serie de características que le hacen </w:t>
      </w:r>
      <w:r w:rsidR="003E3C69">
        <w:t>más</w:t>
      </w:r>
      <w:r w:rsidR="00462021">
        <w:t xml:space="preserve"> o menos apto para una determinada aplicación. Así, algunos solo sirven para la representación de orientación, mientras, otros, por ejemplo, son especialmente útiles para la composición de rotaciones.</w:t>
      </w:r>
    </w:p>
    <w:p w:rsidR="00462021" w:rsidRPr="003E3C69" w:rsidRDefault="00462021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3E3C6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Utilización de MATLAB para el modelado y simulación de robots</w:t>
      </w:r>
    </w:p>
    <w:p w:rsidR="00462021" w:rsidRDefault="00462021">
      <w:r>
        <w:t xml:space="preserve">MATLAB  proporciona una valiosa herramienta de apoyo para el desarrollo de cálculos habituales </w:t>
      </w:r>
      <w:proofErr w:type="gramStart"/>
      <w:r>
        <w:t>en</w:t>
      </w:r>
      <w:proofErr w:type="gramEnd"/>
      <w:r>
        <w:t xml:space="preserve"> el modelado de robots. Estas capacidades se ven aumentadas con dos ToolBox. La primera de ellas es la ToolBox de cálculo simbólico, que será usada al objeto de poder definir y manipular transformaciones de rotación traslación de manera genérica. La segunda es la ToolBox </w:t>
      </w:r>
      <w:r w:rsidR="003E3C69">
        <w:t>desarrollada</w:t>
      </w:r>
      <w:r>
        <w:t xml:space="preserve"> por Corke específicamente para robótica. Esta aporta numerosos tipos de datos y operaciones específicas para el modelado de robots, por lo que su empleo supone una apreciable ayuda. La ToolBox de robótica para MATLAB puede ser descargada.</w:t>
      </w:r>
    </w:p>
    <w:p w:rsidR="00462021" w:rsidRPr="003E3C69" w:rsidRDefault="00A84C32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3E3C6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Cuartenios Matriz de transformación homogénea</w:t>
      </w:r>
    </w:p>
    <w:p w:rsidR="00A84C32" w:rsidRDefault="00A84C32">
      <w:r>
        <w:t xml:space="preserve">El </w:t>
      </w:r>
      <w:proofErr w:type="gramStart"/>
      <w:r>
        <w:t>paso</w:t>
      </w:r>
      <w:proofErr w:type="gramEnd"/>
      <w:r>
        <w:t xml:space="preserve"> de los cuartenios a la matriz de transformación homogénea y viceversa, se pueden deducir fácilmente utilizando como representación auxiliar intermedia el eje y el ángulo de rotación. A continuación, se expresan las relaciones finales, obrando los desarrollos intermedios que se pueden encontrar.</w:t>
      </w:r>
    </w:p>
    <w:p w:rsidR="00A84C32" w:rsidRPr="003E3C69" w:rsidRDefault="00A84C32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3E3C6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Relación entre los distintos métodos de localización espacial</w:t>
      </w:r>
    </w:p>
    <w:p w:rsidR="00A84C32" w:rsidRDefault="00A84C32">
      <w:r>
        <w:t xml:space="preserve">Ya que los métodos vistos para la representación espacial son equivalentes es decir, se expresan lo mismo de forma distinta, deberá existir un modo de pasar de un tipo de representación a otro. A continuación, se muestran la relaciones de paso que se utilizan más frecuentemente a través de ellas es posiblemente pasar de una representación a cualquier otra, </w:t>
      </w:r>
      <w:r w:rsidR="003E3C69">
        <w:t>aunque</w:t>
      </w:r>
      <w:r>
        <w:t xml:space="preserve"> en algunos casos sea más cómodo utilizar una representación auxiliar intermedia.</w:t>
      </w:r>
    </w:p>
    <w:p w:rsidR="00A84C32" w:rsidRPr="00AA56EB" w:rsidRDefault="003E3C69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AA56EB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Ángulos</w:t>
      </w:r>
      <w:r w:rsidR="00A84C32" w:rsidRPr="00AA56EB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 de Euler: Matriz de transformación homogénea</w:t>
      </w:r>
    </w:p>
    <w:p w:rsidR="00A84C32" w:rsidRDefault="00A84C32">
      <w:r>
        <w:t xml:space="preserve">Ya se ha mencionado en diferentes </w:t>
      </w:r>
      <w:r w:rsidR="00152AAC">
        <w:t xml:space="preserve">ocasiones, que los ángulos de Euler solo son capaces de </w:t>
      </w:r>
      <w:proofErr w:type="gramStart"/>
      <w:r w:rsidR="00152AAC">
        <w:t>realizar</w:t>
      </w:r>
      <w:proofErr w:type="gramEnd"/>
      <w:r w:rsidR="00152AAC">
        <w:t xml:space="preserve"> una representación de la orientación.</w:t>
      </w:r>
    </w:p>
    <w:p w:rsidR="00B00579" w:rsidRPr="00AA56EB" w:rsidRDefault="00B00579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AA56EB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Relación  directa</w:t>
      </w:r>
    </w:p>
    <w:p w:rsidR="00B00579" w:rsidRDefault="00B00579">
      <w:r>
        <w:lastRenderedPageBreak/>
        <w:t>La obtención de la matriz homogénea correspondiente a cada conjunto de ángulos de Euler es inmediata, bastará con componer las matrices que representan las rotaciones que definen los propios ángulos.</w:t>
      </w:r>
    </w:p>
    <w:p w:rsidR="00B00579" w:rsidRPr="00AA56EB" w:rsidRDefault="00B00579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AA56EB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Relación inversa </w:t>
      </w:r>
    </w:p>
    <w:p w:rsidR="00B00579" w:rsidRDefault="00B00579">
      <w:r>
        <w:t xml:space="preserve">El paso de la representación mediante matriz homogénea  a cualquiera de los conjuntos de ángulos de Euler puede realizarse a partir de la correspondiente relación directa despejando de ella los valores de 0, 0 y Y. Así, en el caso de la ecuación del elemento puede obtenerse del valor de 0. Obteniendo este, y puede obtenerse tanto. Este modo de operar es solo válido siempre y cuando 0 no valga 0 o 3.1416. </w:t>
      </w:r>
      <w:r w:rsidR="003E3C69">
        <w:t>En</w:t>
      </w:r>
      <w:r>
        <w:t xml:space="preserve"> este caso el Sen (0) valdrá 0 y no será posible obtener 0 ni Y  de los elementos. Se deberá entonces reunir al resto de los elementos de la expresión, pudiéndose obtener de este modo el valor de la suma Y + 0 y no los valores individuales.</w:t>
      </w:r>
    </w:p>
    <w:p w:rsidR="00B00579" w:rsidRPr="00AA56EB" w:rsidRDefault="00B00579" w:rsidP="00AA56EB">
      <w:pPr>
        <w:rPr>
          <w:rFonts w:ascii="Times New Roman" w:hAnsi="Times New Roman" w:cs="Times New Roman"/>
          <w:b/>
          <w:sz w:val="32"/>
          <w:szCs w:val="32"/>
        </w:rPr>
      </w:pPr>
      <w:r w:rsidRPr="00AA56EB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Par de rotación: Matriz de transformación homogénea </w:t>
      </w:r>
    </w:p>
    <w:p w:rsidR="00B00579" w:rsidRDefault="00B00579">
      <w:r>
        <w:t xml:space="preserve">Al igual que en el caso de los </w:t>
      </w:r>
      <w:r w:rsidR="003E3C69">
        <w:t>ángulos</w:t>
      </w:r>
      <w:r>
        <w:t xml:space="preserve"> de Euler, mediante un eje y </w:t>
      </w:r>
      <w:r w:rsidR="003E3C69">
        <w:t>ángulo</w:t>
      </w:r>
      <w:r>
        <w:t xml:space="preserve"> de rotación </w:t>
      </w:r>
      <w:r w:rsidR="003E3C69">
        <w:t>solo es posible representar orientación; de ahí que quede únicamente definida la submatriz de rotación R3x3 de la matriz homogénea de transformación.</w:t>
      </w:r>
    </w:p>
    <w:p w:rsidR="003E3C69" w:rsidRPr="00AA56EB" w:rsidRDefault="003E3C69" w:rsidP="00AA56EB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AA56EB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Composición de matrices homogéneas </w:t>
      </w:r>
    </w:p>
    <w:p w:rsidR="003E3C69" w:rsidRDefault="003E3C69">
      <w:r>
        <w:t xml:space="preserve">Anteriormente, se ha mencionado que una matriz de transformación homogénea sirve, entre </w:t>
      </w:r>
      <w:proofErr w:type="gramStart"/>
      <w:r>
        <w:t>otros</w:t>
      </w:r>
      <w:proofErr w:type="gramEnd"/>
      <w:r>
        <w:t xml:space="preserve"> casos, para representar, el giro y la traslación realizado</w:t>
      </w:r>
      <w:bookmarkStart w:id="0" w:name="_GoBack"/>
      <w:bookmarkEnd w:id="0"/>
      <w:r>
        <w:t>s, sobre un sistema de referencia.</w:t>
      </w:r>
    </w:p>
    <w:sectPr w:rsidR="003E3C6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C3" w:rsidRDefault="00C207C3" w:rsidP="000665D1">
      <w:pPr>
        <w:spacing w:after="0" w:line="240" w:lineRule="auto"/>
      </w:pPr>
      <w:r>
        <w:separator/>
      </w:r>
    </w:p>
  </w:endnote>
  <w:endnote w:type="continuationSeparator" w:id="0">
    <w:p w:rsidR="00C207C3" w:rsidRDefault="00C207C3" w:rsidP="0006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C3" w:rsidRDefault="00C207C3" w:rsidP="000665D1">
      <w:pPr>
        <w:spacing w:after="0" w:line="240" w:lineRule="auto"/>
      </w:pPr>
      <w:r>
        <w:separator/>
      </w:r>
    </w:p>
  </w:footnote>
  <w:footnote w:type="continuationSeparator" w:id="0">
    <w:p w:rsidR="00C207C3" w:rsidRDefault="00C207C3" w:rsidP="00066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5D1" w:rsidRDefault="000665D1">
    <w:pPr>
      <w:pStyle w:val="Encabezado"/>
    </w:pPr>
    <w:r>
      <w:t>Jonathan Alejandro Capuchino González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D1"/>
    <w:rsid w:val="000665D1"/>
    <w:rsid w:val="00152AAC"/>
    <w:rsid w:val="003E3C69"/>
    <w:rsid w:val="00462021"/>
    <w:rsid w:val="00593DCF"/>
    <w:rsid w:val="005F4FFC"/>
    <w:rsid w:val="00A84C32"/>
    <w:rsid w:val="00AA56EB"/>
    <w:rsid w:val="00B00579"/>
    <w:rsid w:val="00C1616C"/>
    <w:rsid w:val="00C2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6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5D1"/>
  </w:style>
  <w:style w:type="paragraph" w:styleId="Piedepgina">
    <w:name w:val="footer"/>
    <w:basedOn w:val="Normal"/>
    <w:link w:val="PiedepginaCar"/>
    <w:uiPriority w:val="99"/>
    <w:unhideWhenUsed/>
    <w:rsid w:val="00066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6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5D1"/>
  </w:style>
  <w:style w:type="paragraph" w:styleId="Piedepgina">
    <w:name w:val="footer"/>
    <w:basedOn w:val="Normal"/>
    <w:link w:val="PiedepginaCar"/>
    <w:uiPriority w:val="99"/>
    <w:unhideWhenUsed/>
    <w:rsid w:val="00066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931</Words>
  <Characters>5050</Characters>
  <Application>Microsoft Office Word</Application>
  <DocSecurity>0</DocSecurity>
  <Lines>78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2019-01-31T15:18:00Z</dcterms:created>
  <dcterms:modified xsi:type="dcterms:W3CDTF">2019-01-31T16:45:00Z</dcterms:modified>
</cp:coreProperties>
</file>