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42" w:rsidRDefault="00DF6DD8">
      <w:r>
        <w:t>El objetivo del problema cinemático inverso consiste en encontrar los valores que deben adoptar las coordenadas articulares del robot</w:t>
      </w:r>
      <w:r w:rsidR="001D16DC">
        <w:t xml:space="preserve"> q = [q</w:t>
      </w:r>
      <w:r w:rsidR="001D16DC">
        <w:rPr>
          <w:vertAlign w:val="subscript"/>
        </w:rPr>
        <w:t>1</w:t>
      </w:r>
      <w:r w:rsidR="001D16DC">
        <w:t>, q</w:t>
      </w:r>
      <w:r w:rsidR="001D16DC">
        <w:rPr>
          <w:vertAlign w:val="subscript"/>
        </w:rPr>
        <w:t>2</w:t>
      </w:r>
      <w:r w:rsidR="001D16DC">
        <w:t xml:space="preserve">, … </w:t>
      </w:r>
      <w:proofErr w:type="spellStart"/>
      <w:r w:rsidR="001D16DC">
        <w:t>q</w:t>
      </w:r>
      <w:r w:rsidR="001D16DC">
        <w:rPr>
          <w:vertAlign w:val="subscript"/>
        </w:rPr>
        <w:t>n</w:t>
      </w:r>
      <w:proofErr w:type="spellEnd"/>
      <w:r w:rsidR="001D16DC">
        <w:t xml:space="preserve">] </w:t>
      </w:r>
      <w:proofErr w:type="gramStart"/>
      <w:r w:rsidR="001D16DC">
        <w:rPr>
          <w:vertAlign w:val="superscript"/>
        </w:rPr>
        <w:t xml:space="preserve">T  </w:t>
      </w:r>
      <w:r w:rsidR="001D16DC" w:rsidRPr="001D16DC">
        <w:t>para</w:t>
      </w:r>
      <w:proofErr w:type="gramEnd"/>
      <w:r w:rsidR="001D16DC" w:rsidRPr="001D16DC">
        <w:t xml:space="preserve"> que su extremo se posicione y orien</w:t>
      </w:r>
      <w:r w:rsidR="001D16DC">
        <w:t>t</w:t>
      </w:r>
      <w:r w:rsidR="001D16DC" w:rsidRPr="001D16DC">
        <w:t xml:space="preserve">e según </w:t>
      </w:r>
      <w:r w:rsidR="001D16DC">
        <w:t>una determinada localización espacial.</w:t>
      </w:r>
    </w:p>
    <w:p w:rsidR="001D16DC" w:rsidRDefault="001D16DC">
      <w:r>
        <w:t xml:space="preserve">Así </w:t>
      </w:r>
      <w:proofErr w:type="spellStart"/>
      <w:r>
        <w:t>como</w:t>
      </w:r>
      <w:proofErr w:type="spellEnd"/>
      <w:r>
        <w:t xml:space="preserve"> es posible abordar el problema cinemático directo de una manera sistemática a partir de la utilización de matrices de transformación homogénea e independientemente de la configuración del robot, no ocúrrelo mismo con el problema cinemático inverso, siendo el procedimiento de obtención de las ecuaciones fuertemente dependiente de la configuración del robot.</w:t>
      </w:r>
    </w:p>
    <w:p w:rsidR="001D16DC" w:rsidRDefault="001D16DC" w:rsidP="001D16DC">
      <w:pPr>
        <w:jc w:val="center"/>
      </w:pPr>
      <w:r>
        <w:t xml:space="preserve">q k = </w:t>
      </w:r>
      <w:proofErr w:type="spellStart"/>
      <w:r>
        <w:t>fx</w:t>
      </w:r>
      <w:proofErr w:type="spellEnd"/>
      <w:r>
        <w:t xml:space="preserve"> (</w:t>
      </w:r>
      <w:proofErr w:type="spellStart"/>
      <w:proofErr w:type="gramStart"/>
      <w:r>
        <w:t>x,y</w:t>
      </w:r>
      <w:proofErr w:type="gramEnd"/>
      <w:r>
        <w:t>,z,a</w:t>
      </w:r>
      <w:proofErr w:type="spellEnd"/>
      <w:r>
        <w:t>,β,ϒ)</w:t>
      </w:r>
    </w:p>
    <w:p w:rsidR="001D16DC" w:rsidRDefault="001D16DC" w:rsidP="001D16DC">
      <w:pPr>
        <w:jc w:val="center"/>
      </w:pPr>
      <w:r>
        <w:t>k = 1 … n (</w:t>
      </w:r>
      <w:proofErr w:type="gramStart"/>
      <w:r>
        <w:t>G,D</w:t>
      </w:r>
      <w:proofErr w:type="gramEnd"/>
      <w:r>
        <w:t>,L)</w:t>
      </w:r>
    </w:p>
    <w:p w:rsidR="001D16DC" w:rsidRDefault="001D16DC" w:rsidP="001D16DC">
      <w:pPr>
        <w:jc w:val="both"/>
        <w:rPr>
          <w:b/>
          <w:sz w:val="28"/>
          <w:szCs w:val="28"/>
        </w:rPr>
      </w:pPr>
      <w:r w:rsidRPr="001D16DC">
        <w:rPr>
          <w:b/>
          <w:sz w:val="28"/>
          <w:szCs w:val="28"/>
        </w:rPr>
        <w:t>Resolución del problema cinemático inverso por métodos geométricos</w:t>
      </w:r>
    </w:p>
    <w:p w:rsidR="00BD2CB1" w:rsidRDefault="001D16DC" w:rsidP="00BD2CB1">
      <w:r w:rsidRPr="001D16DC">
        <w:t>El p</w:t>
      </w:r>
      <w:r>
        <w:t xml:space="preserve">rocedimiento en sí se basa en encontrar suficiente número de relaciones geométricas en las que intervendrán </w:t>
      </w:r>
      <w:r w:rsidR="00BD2CB1">
        <w:t>las coordenadas del extremo del robot, sus coordenadas articulares y las dimensiones físicas de sus elementos. Para mostrar el procedimiento a seguir se va a aplicar el método a la resolución del problema cinemático inverso de un robot con 3 GDL de rotación. El valor de q</w:t>
      </w:r>
      <w:r w:rsidR="00BD2CB1">
        <w:rPr>
          <w:vertAlign w:val="subscript"/>
        </w:rPr>
        <w:t>1</w:t>
      </w:r>
      <w:r w:rsidR="00BD2CB1">
        <w:t xml:space="preserve"> se obtiene inmediatamente como:</w:t>
      </w:r>
    </w:p>
    <w:p w:rsidR="001D16DC" w:rsidRDefault="00BD2CB1" w:rsidP="00BD2CB1">
      <w:pPr>
        <w:jc w:val="center"/>
      </w:pPr>
      <w:r>
        <w:t>q</w:t>
      </w:r>
      <w:r>
        <w:rPr>
          <w:vertAlign w:val="subscript"/>
        </w:rPr>
        <w:t xml:space="preserve">1 </w:t>
      </w:r>
      <w:r w:rsidRPr="00BD2CB1">
        <w:t xml:space="preserve">= </w:t>
      </w:r>
      <w:proofErr w:type="spellStart"/>
      <w:r w:rsidRPr="00BD2CB1">
        <w:t>arctg</w:t>
      </w:r>
      <w:proofErr w:type="spellEnd"/>
      <w:r w:rsidRPr="00BD2CB1">
        <w:t xml:space="preserve"> </w:t>
      </w:r>
      <w:r>
        <w:t>(</w:t>
      </w:r>
      <w:proofErr w:type="spellStart"/>
      <w:r>
        <w:t>Py</w:t>
      </w:r>
      <w:proofErr w:type="spellEnd"/>
      <w:r>
        <w:t>/</w:t>
      </w:r>
      <w:proofErr w:type="spellStart"/>
      <w:r>
        <w:t>Px</w:t>
      </w:r>
      <w:proofErr w:type="spellEnd"/>
      <w:r>
        <w:t>)</w:t>
      </w:r>
    </w:p>
    <w:p w:rsidR="00BD2CB1" w:rsidRDefault="00BD2CB1" w:rsidP="00BD2CB1">
      <w:r>
        <w:t>Considerando únicamente los elementos 2 y 3 que están situados en un plano utilizando el teorema del coseno, se tendrá:</w:t>
      </w:r>
    </w:p>
    <w:p w:rsidR="00BD2CB1" w:rsidRDefault="00BD2CB1" w:rsidP="00BD2CB1">
      <w:pPr>
        <w:jc w:val="center"/>
      </w:pPr>
      <w:r>
        <w:t>r</w:t>
      </w:r>
      <w:r>
        <w:rPr>
          <w:vertAlign w:val="superscript"/>
        </w:rPr>
        <w:t>2</w:t>
      </w:r>
      <w:r>
        <w:t xml:space="preserve"> = Px</w:t>
      </w:r>
      <w:r>
        <w:rPr>
          <w:vertAlign w:val="superscript"/>
        </w:rPr>
        <w:t xml:space="preserve">2 </w:t>
      </w:r>
      <w:r>
        <w:t>+ Py</w:t>
      </w:r>
      <w:r>
        <w:rPr>
          <w:vertAlign w:val="superscript"/>
        </w:rPr>
        <w:t>2</w:t>
      </w:r>
    </w:p>
    <w:p w:rsidR="00BD2CB1" w:rsidRDefault="00BD2CB1" w:rsidP="00BD2CB1">
      <w:pPr>
        <w:jc w:val="center"/>
      </w:pPr>
      <w:r>
        <w:t>r</w:t>
      </w:r>
      <w:r>
        <w:rPr>
          <w:vertAlign w:val="superscript"/>
        </w:rPr>
        <w:t xml:space="preserve">2 </w:t>
      </w:r>
      <w:r>
        <w:t>+Pz</w:t>
      </w:r>
      <w:r w:rsidR="001568FA">
        <w:rPr>
          <w:vertAlign w:val="superscript"/>
        </w:rPr>
        <w:t>2</w:t>
      </w:r>
      <w:r w:rsidR="001568FA">
        <w:t xml:space="preserve"> = 1</w:t>
      </w:r>
      <w:r w:rsidR="001568FA">
        <w:rPr>
          <w:vertAlign w:val="subscript"/>
        </w:rPr>
        <w:t>2</w:t>
      </w:r>
      <w:r w:rsidR="001568FA">
        <w:rPr>
          <w:vertAlign w:val="superscript"/>
        </w:rPr>
        <w:t>2</w:t>
      </w:r>
      <w:r w:rsidR="001568FA">
        <w:t>+1</w:t>
      </w:r>
      <w:r w:rsidR="001568FA">
        <w:rPr>
          <w:vertAlign w:val="subscript"/>
        </w:rPr>
        <w:t>3</w:t>
      </w:r>
      <w:r w:rsidR="001568FA">
        <w:rPr>
          <w:vertAlign w:val="superscript"/>
        </w:rPr>
        <w:t>2</w:t>
      </w:r>
      <w:r w:rsidR="001568FA">
        <w:t xml:space="preserve">+ </w:t>
      </w:r>
      <w:r w:rsidR="001568FA" w:rsidRPr="001568FA">
        <w:t>21</w:t>
      </w:r>
      <w:r w:rsidR="001568FA">
        <w:rPr>
          <w:vertAlign w:val="subscript"/>
        </w:rPr>
        <w:t>2</w:t>
      </w:r>
      <w:r w:rsidR="001568FA">
        <w:t xml:space="preserve"> </w:t>
      </w:r>
      <w:r w:rsidR="001568FA" w:rsidRPr="001568FA">
        <w:t>1</w:t>
      </w:r>
      <w:r w:rsidR="001568FA">
        <w:rPr>
          <w:vertAlign w:val="subscript"/>
        </w:rPr>
        <w:t>3</w:t>
      </w:r>
      <w:r w:rsidR="001568FA">
        <w:t xml:space="preserve"> cosq</w:t>
      </w:r>
      <w:r w:rsidR="001568FA">
        <w:rPr>
          <w:vertAlign w:val="subscript"/>
        </w:rPr>
        <w:t xml:space="preserve">3 </w:t>
      </w:r>
    </w:p>
    <w:p w:rsidR="001568FA" w:rsidRDefault="001568FA" w:rsidP="00BD2CB1">
      <w:pPr>
        <w:jc w:val="center"/>
        <w:rPr>
          <w:u w:val="single"/>
          <w:vertAlign w:val="superscript"/>
        </w:rPr>
      </w:pPr>
      <w:r>
        <w:t>cosq</w:t>
      </w:r>
      <w:r>
        <w:rPr>
          <w:vertAlign w:val="subscript"/>
        </w:rPr>
        <w:t xml:space="preserve">3 </w:t>
      </w:r>
      <w:r>
        <w:t xml:space="preserve">=   </w:t>
      </w:r>
      <w:r w:rsidRPr="001568FA">
        <w:rPr>
          <w:u w:val="single"/>
        </w:rPr>
        <w:t>Px</w:t>
      </w:r>
      <w:r>
        <w:rPr>
          <w:u w:val="single"/>
          <w:vertAlign w:val="superscript"/>
        </w:rPr>
        <w:t>2</w:t>
      </w:r>
      <w:r w:rsidRPr="001568FA">
        <w:rPr>
          <w:u w:val="single"/>
        </w:rPr>
        <w:t>+Py</w:t>
      </w:r>
      <w:r>
        <w:rPr>
          <w:u w:val="single"/>
          <w:vertAlign w:val="superscript"/>
        </w:rPr>
        <w:t>2</w:t>
      </w:r>
      <w:r w:rsidRPr="001568FA">
        <w:rPr>
          <w:u w:val="single"/>
        </w:rPr>
        <w:t>+Pz</w:t>
      </w:r>
      <w:r>
        <w:rPr>
          <w:u w:val="single"/>
          <w:vertAlign w:val="superscript"/>
        </w:rPr>
        <w:t>2</w:t>
      </w:r>
      <w:r w:rsidRPr="001568FA">
        <w:rPr>
          <w:u w:val="single"/>
        </w:rPr>
        <w:t>-1</w:t>
      </w:r>
      <w:r>
        <w:rPr>
          <w:u w:val="single"/>
          <w:vertAlign w:val="subscript"/>
        </w:rPr>
        <w:t>2</w:t>
      </w:r>
      <w:r>
        <w:rPr>
          <w:u w:val="single"/>
          <w:vertAlign w:val="superscript"/>
        </w:rPr>
        <w:t>2</w:t>
      </w:r>
      <w:r w:rsidRPr="001568FA">
        <w:rPr>
          <w:u w:val="single"/>
        </w:rPr>
        <w:t>-1</w:t>
      </w:r>
      <w:r>
        <w:rPr>
          <w:u w:val="single"/>
          <w:vertAlign w:val="subscript"/>
        </w:rPr>
        <w:t>3</w:t>
      </w:r>
      <w:r>
        <w:rPr>
          <w:u w:val="single"/>
          <w:vertAlign w:val="superscript"/>
        </w:rPr>
        <w:t xml:space="preserve">2 </w:t>
      </w:r>
    </w:p>
    <w:p w:rsidR="001568FA" w:rsidRDefault="001568FA" w:rsidP="00BD2CB1">
      <w:pPr>
        <w:jc w:val="center"/>
        <w:rPr>
          <w:vertAlign w:val="subscript"/>
        </w:rPr>
      </w:pPr>
      <w:r>
        <w:t xml:space="preserve">         21</w:t>
      </w:r>
      <w:r>
        <w:rPr>
          <w:vertAlign w:val="subscript"/>
        </w:rPr>
        <w:t>2</w:t>
      </w:r>
      <w:r>
        <w:t xml:space="preserve"> 1</w:t>
      </w:r>
      <w:r>
        <w:rPr>
          <w:vertAlign w:val="subscript"/>
        </w:rPr>
        <w:t>3</w:t>
      </w:r>
    </w:p>
    <w:p w:rsidR="001568FA" w:rsidRDefault="001568FA" w:rsidP="001568FA">
      <w:r>
        <w:t>Esta expresión permite obtener q</w:t>
      </w:r>
      <w:r>
        <w:rPr>
          <w:vertAlign w:val="superscript"/>
        </w:rPr>
        <w:t>3</w:t>
      </w:r>
      <w:r>
        <w:t xml:space="preserve"> en función del vector de posición del extremo p. No obstante, y por motivos de ventajas computacionales, es más conveniente utilizar la expresión del arco tangente en lugar del coseno.</w:t>
      </w:r>
    </w:p>
    <w:p w:rsidR="001568FA" w:rsidRDefault="001568FA" w:rsidP="001568FA">
      <w:pPr>
        <w:jc w:val="center"/>
        <w:rPr>
          <w:u w:val="single"/>
          <w:vertAlign w:val="superscript"/>
        </w:rPr>
      </w:pPr>
      <w:r>
        <w:t>Senq</w:t>
      </w:r>
      <w:r>
        <w:rPr>
          <w:vertAlign w:val="superscript"/>
        </w:rPr>
        <w:t xml:space="preserve">3 </w:t>
      </w:r>
      <w:r>
        <w:t>= ±</w:t>
      </w:r>
      <w:r w:rsidRPr="00765D38">
        <w:rPr>
          <w:u w:val="single"/>
        </w:rPr>
        <w:t>√</w:t>
      </w:r>
      <w:r w:rsidR="00765D38" w:rsidRPr="00765D38">
        <w:rPr>
          <w:u w:val="single"/>
        </w:rPr>
        <w:t>1-cos</w:t>
      </w:r>
      <w:r w:rsidR="00765D38" w:rsidRPr="00765D38">
        <w:rPr>
          <w:u w:val="single"/>
          <w:vertAlign w:val="superscript"/>
        </w:rPr>
        <w:t>2</w:t>
      </w:r>
      <w:r w:rsidR="00765D38" w:rsidRPr="00765D38">
        <w:rPr>
          <w:u w:val="single"/>
        </w:rPr>
        <w:t>q</w:t>
      </w:r>
      <w:r w:rsidR="00765D38" w:rsidRPr="00765D38">
        <w:rPr>
          <w:u w:val="single"/>
          <w:vertAlign w:val="superscript"/>
        </w:rPr>
        <w:t>3</w:t>
      </w:r>
    </w:p>
    <w:p w:rsidR="00765D38" w:rsidRDefault="00765D38" w:rsidP="001568FA">
      <w:pPr>
        <w:jc w:val="center"/>
        <w:rPr>
          <w:vertAlign w:val="superscript"/>
        </w:rPr>
      </w:pPr>
      <w:r w:rsidRPr="00765D38">
        <w:t xml:space="preserve">        </w:t>
      </w:r>
      <w:r>
        <w:t xml:space="preserve">            c</w:t>
      </w:r>
      <w:r w:rsidRPr="00765D38">
        <w:t>osq</w:t>
      </w:r>
      <w:r>
        <w:rPr>
          <w:vertAlign w:val="superscript"/>
        </w:rPr>
        <w:t>3</w:t>
      </w:r>
    </w:p>
    <w:p w:rsidR="00765D38" w:rsidRDefault="00765D38" w:rsidP="001568FA">
      <w:pPr>
        <w:jc w:val="center"/>
      </w:pPr>
      <w:r w:rsidRPr="00765D38">
        <w:t xml:space="preserve">con </w:t>
      </w:r>
    </w:p>
    <w:p w:rsidR="00765D38" w:rsidRDefault="00765D38" w:rsidP="001568FA">
      <w:pPr>
        <w:jc w:val="center"/>
        <w:rPr>
          <w:u w:val="single"/>
          <w:vertAlign w:val="superscript"/>
        </w:rPr>
      </w:pPr>
      <w:r>
        <w:t>cosq</w:t>
      </w:r>
      <w:r>
        <w:rPr>
          <w:vertAlign w:val="superscript"/>
        </w:rPr>
        <w:t>3</w:t>
      </w:r>
      <w:r>
        <w:t xml:space="preserve"> </w:t>
      </w:r>
      <w:proofErr w:type="gramStart"/>
      <w:r>
        <w:t xml:space="preserve">=  </w:t>
      </w:r>
      <w:r w:rsidRPr="00765D38">
        <w:rPr>
          <w:u w:val="single"/>
        </w:rPr>
        <w:t>Px</w:t>
      </w:r>
      <w:proofErr w:type="gramEnd"/>
      <w:r>
        <w:rPr>
          <w:u w:val="single"/>
          <w:vertAlign w:val="superscript"/>
        </w:rPr>
        <w:t>2</w:t>
      </w:r>
      <w:r w:rsidRPr="00765D38">
        <w:rPr>
          <w:u w:val="single"/>
        </w:rPr>
        <w:t xml:space="preserve"> + Py</w:t>
      </w:r>
      <w:r>
        <w:rPr>
          <w:u w:val="single"/>
          <w:vertAlign w:val="superscript"/>
        </w:rPr>
        <w:t>2</w:t>
      </w:r>
      <w:r w:rsidRPr="00765D38">
        <w:rPr>
          <w:u w:val="single"/>
        </w:rPr>
        <w:t xml:space="preserve"> + Pz</w:t>
      </w:r>
      <w:r>
        <w:rPr>
          <w:u w:val="single"/>
          <w:vertAlign w:val="superscript"/>
        </w:rPr>
        <w:t>2</w:t>
      </w:r>
      <w:r w:rsidRPr="00765D38">
        <w:rPr>
          <w:u w:val="single"/>
        </w:rPr>
        <w:t xml:space="preserve"> -</w:t>
      </w:r>
      <w:r>
        <w:rPr>
          <w:u w:val="single"/>
        </w:rPr>
        <w:t>1</w:t>
      </w:r>
      <w:r>
        <w:rPr>
          <w:u w:val="single"/>
          <w:vertAlign w:val="subscript"/>
        </w:rPr>
        <w:t>2</w:t>
      </w:r>
      <w:r>
        <w:rPr>
          <w:u w:val="single"/>
          <w:vertAlign w:val="superscript"/>
        </w:rPr>
        <w:t>2</w:t>
      </w:r>
      <w:r w:rsidRPr="00765D38">
        <w:rPr>
          <w:u w:val="single"/>
        </w:rPr>
        <w:t xml:space="preserve"> </w:t>
      </w:r>
      <w:r>
        <w:rPr>
          <w:u w:val="single"/>
        </w:rPr>
        <w:t>–</w:t>
      </w:r>
      <w:r w:rsidRPr="00765D38">
        <w:rPr>
          <w:u w:val="single"/>
        </w:rPr>
        <w:t xml:space="preserve"> 1</w:t>
      </w:r>
      <w:r>
        <w:rPr>
          <w:u w:val="single"/>
          <w:vertAlign w:val="subscript"/>
        </w:rPr>
        <w:t>3</w:t>
      </w:r>
      <w:r>
        <w:rPr>
          <w:u w:val="single"/>
          <w:vertAlign w:val="superscript"/>
        </w:rPr>
        <w:t>2</w:t>
      </w:r>
      <w:bookmarkStart w:id="0" w:name="_GoBack"/>
      <w:bookmarkEnd w:id="0"/>
    </w:p>
    <w:p w:rsidR="00765D38" w:rsidRDefault="00765D38" w:rsidP="001568FA">
      <w:pPr>
        <w:jc w:val="center"/>
        <w:rPr>
          <w:u w:val="single"/>
          <w:vertAlign w:val="subscript"/>
        </w:rPr>
      </w:pPr>
      <w:r>
        <w:rPr>
          <w:u w:val="single"/>
        </w:rPr>
        <w:t xml:space="preserve">       21</w:t>
      </w:r>
      <w:r>
        <w:rPr>
          <w:u w:val="single"/>
          <w:vertAlign w:val="subscript"/>
        </w:rPr>
        <w:t>2</w:t>
      </w:r>
      <w:r>
        <w:rPr>
          <w:u w:val="single"/>
        </w:rPr>
        <w:t xml:space="preserve"> 1</w:t>
      </w:r>
      <w:r>
        <w:rPr>
          <w:u w:val="single"/>
          <w:vertAlign w:val="subscript"/>
        </w:rPr>
        <w:t>3</w:t>
      </w:r>
    </w:p>
    <w:p w:rsidR="00765D38" w:rsidRDefault="00765D38" w:rsidP="00765D38">
      <w:pPr>
        <w:rPr>
          <w:rFonts w:cs="Times New Roman"/>
          <w:b/>
          <w:sz w:val="28"/>
          <w:szCs w:val="28"/>
        </w:rPr>
      </w:pPr>
    </w:p>
    <w:p w:rsidR="00765D38" w:rsidRDefault="00765D38" w:rsidP="00765D38">
      <w:pPr>
        <w:rPr>
          <w:rFonts w:cs="Times New Roman"/>
          <w:b/>
          <w:sz w:val="28"/>
          <w:szCs w:val="28"/>
        </w:rPr>
      </w:pPr>
    </w:p>
    <w:p w:rsidR="00765D38" w:rsidRDefault="00765D38" w:rsidP="00765D38">
      <w:pPr>
        <w:rPr>
          <w:rFonts w:cs="Times New Roman"/>
          <w:b/>
          <w:sz w:val="28"/>
          <w:szCs w:val="28"/>
        </w:rPr>
      </w:pPr>
      <w:proofErr w:type="spellStart"/>
      <w:r w:rsidRPr="00765D38">
        <w:rPr>
          <w:rFonts w:cs="Times New Roman"/>
          <w:b/>
          <w:sz w:val="28"/>
          <w:szCs w:val="28"/>
        </w:rPr>
        <w:lastRenderedPageBreak/>
        <w:t>Jacobiana</w:t>
      </w:r>
      <w:proofErr w:type="spellEnd"/>
      <w:r w:rsidRPr="00765D38">
        <w:rPr>
          <w:rFonts w:cs="Times New Roman"/>
          <w:b/>
          <w:sz w:val="28"/>
          <w:szCs w:val="28"/>
        </w:rPr>
        <w:t xml:space="preserve"> inversa</w:t>
      </w:r>
    </w:p>
    <w:p w:rsidR="00765D38" w:rsidRDefault="00765D38" w:rsidP="00765D38">
      <w:pPr>
        <w:rPr>
          <w:rFonts w:cs="Times New Roman"/>
        </w:rPr>
      </w:pPr>
      <w:r>
        <w:rPr>
          <w:rFonts w:cs="Times New Roman"/>
        </w:rPr>
        <w:t>Del mismo modo que se ha obtenido la relación directa que permite obtener las velocidades del extremo a partir de las velocidades articulares, puede obtenerse la relación inversa que permite calcular las velocidades articulares partiendo de las del extremo. En la obtención de la relación inversa pueden emplearse diferentes procedimientos.</w:t>
      </w:r>
    </w:p>
    <w:p w:rsidR="00765D38" w:rsidRDefault="00765D38" w:rsidP="00765D38">
      <w:pPr>
        <w:rPr>
          <w:rFonts w:cs="Times New Roman"/>
        </w:rPr>
      </w:pPr>
      <w:r>
        <w:rPr>
          <w:rFonts w:cs="Times New Roman"/>
        </w:rPr>
        <w:t xml:space="preserve">En primer lugar, supuesta conocida la relación directa, dada por la matriz </w:t>
      </w:r>
      <w:proofErr w:type="spellStart"/>
      <w:r>
        <w:rPr>
          <w:rFonts w:cs="Times New Roman"/>
        </w:rPr>
        <w:t>Jacobiana</w:t>
      </w:r>
      <w:proofErr w:type="spellEnd"/>
      <w:r>
        <w:rPr>
          <w:rFonts w:cs="Times New Roman"/>
        </w:rPr>
        <w:t>, se puede obtener la relación inversa invirtiendo simbólicamente la matriz.</w:t>
      </w:r>
    </w:p>
    <w:p w:rsidR="009A459C" w:rsidRDefault="00970C1D" w:rsidP="009A459C">
      <w:pPr>
        <w:jc w:val="center"/>
        <w:rPr>
          <w:rFonts w:eastAsiaTheme="minorEastAsia"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q1</m:t>
                  </m:r>
                </m:e>
              </m:mr>
              <m:mr>
                <m:e>
                  <m:r>
                    <w:rPr>
                      <w:rFonts w:ascii="Cambria Math" w:hAnsi="Cambria Math" w:cs="Times New Roman"/>
                    </w:rPr>
                    <m:t>.</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qn</m:t>
                  </m:r>
                </m:e>
              </m:mr>
            </m:m>
          </m:e>
        </m:d>
      </m:oMath>
      <w:r w:rsidR="009A459C">
        <w:rPr>
          <w:rFonts w:eastAsiaTheme="minorEastAsia" w:cs="Times New Roman"/>
        </w:rPr>
        <w:t xml:space="preserve">  = J</w:t>
      </w:r>
      <w:r w:rsidR="009A459C">
        <w:rPr>
          <w:rFonts w:eastAsiaTheme="minorEastAsia" w:cs="Times New Roman"/>
          <w:vertAlign w:val="superscript"/>
        </w:rPr>
        <w:t>-1</w:t>
      </w:r>
      <w:r w:rsidR="009A459C">
        <w:rPr>
          <w:rFonts w:eastAsiaTheme="minorEastAsia" w:cs="Times New Roman"/>
        </w:rPr>
        <w:t xml:space="preserve">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m:t>
                  </m:r>
                </m:e>
              </m:mr>
              <m:mr>
                <m:e>
                  <m:r>
                    <w:rPr>
                      <w:rFonts w:ascii="Cambria Math" w:hAnsi="Cambria Math" w:cs="Times New Roman"/>
                    </w:rPr>
                    <m:t>y</m:t>
                  </m:r>
                </m:e>
              </m:mr>
              <m:mr>
                <m:e>
                  <m:r>
                    <w:rPr>
                      <w:rFonts w:ascii="Cambria Math" w:hAnsi="Cambria Math" w:cs="Times New Roman"/>
                    </w:rPr>
                    <m:t>z</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mr>
              <m:mr>
                <m:e>
                  <m:r>
                    <w:rPr>
                      <w:rFonts w:ascii="Cambria Math" w:eastAsia="Cambria Math" w:hAnsi="Cambria Math" w:cs="Cambria Math"/>
                    </w:rPr>
                    <m:t>β</m:t>
                  </m:r>
                  <m:ctrlPr>
                    <w:rPr>
                      <w:rFonts w:ascii="Cambria Math" w:eastAsia="Cambria Math" w:hAnsi="Cambria Math" w:cs="Cambria Math"/>
                      <w:i/>
                    </w:rPr>
                  </m:ctrlPr>
                </m:e>
              </m:mr>
              <m:mr>
                <m:e>
                  <m:r>
                    <w:rPr>
                      <w:rFonts w:ascii="Cambria" w:eastAsia="Cambria Math" w:hAnsi="Cambria" w:cs="Cambria"/>
                    </w:rPr>
                    <m:t>ϒ</m:t>
                  </m:r>
                </m:e>
              </m:mr>
            </m:m>
          </m:e>
        </m:d>
      </m:oMath>
      <w:r w:rsidR="009A459C">
        <w:rPr>
          <w:rFonts w:eastAsiaTheme="minorEastAsia" w:cs="Times New Roman"/>
        </w:rPr>
        <w:t xml:space="preserve">    </w:t>
      </w:r>
    </w:p>
    <w:p w:rsidR="009A459C" w:rsidRDefault="009A459C" w:rsidP="009A459C">
      <w:pPr>
        <w:rPr>
          <w:rFonts w:eastAsiaTheme="minorEastAsia" w:cs="Times New Roman"/>
        </w:rPr>
      </w:pPr>
      <w:r>
        <w:rPr>
          <w:rFonts w:eastAsiaTheme="minorEastAsia" w:cs="Times New Roman"/>
        </w:rPr>
        <w:t>Esta alternativa, de planteamiento sencillo, es la práctica de difícil realización. Suponiendo que la matriz J sea cuadrada, la inversión simbólica de una matriz 6x6, cuyos elementos son funciones trigonométricas, es de gran complejidad, siendo este procedimiento inviable.</w:t>
      </w:r>
    </w:p>
    <w:p w:rsidR="009A459C" w:rsidRDefault="009A459C" w:rsidP="009A459C">
      <w:pPr>
        <w:rPr>
          <w:rFonts w:eastAsiaTheme="minorEastAsia" w:cs="Times New Roman"/>
        </w:rPr>
      </w:pPr>
      <w:r>
        <w:rPr>
          <w:rFonts w:eastAsiaTheme="minorEastAsia" w:cs="Times New Roman"/>
        </w:rPr>
        <w:t>Como segunda alternativa puede plantarse la ecuación numérica de la matriz J para una configuración (q</w:t>
      </w:r>
      <w:r>
        <w:rPr>
          <w:rFonts w:eastAsiaTheme="minorEastAsia" w:cs="Times New Roman"/>
          <w:vertAlign w:val="subscript"/>
        </w:rPr>
        <w:t>1</w:t>
      </w:r>
      <w:r>
        <w:rPr>
          <w:rFonts w:eastAsiaTheme="minorEastAsia" w:cs="Times New Roman"/>
        </w:rPr>
        <w:t xml:space="preserve">) concreta del robot, e invirtiendo numéricamente esta matriz encontrar la relación inversa sólida para esa configuración. En los casos en que el robot sea redundante (más de 6 GDL) </w:t>
      </w:r>
      <w:r w:rsidR="009E41E5">
        <w:rPr>
          <w:rFonts w:eastAsiaTheme="minorEastAsia" w:cs="Times New Roman"/>
        </w:rPr>
        <w:t xml:space="preserve">o más columnas en filas en la matriz </w:t>
      </w:r>
      <w:proofErr w:type="spellStart"/>
      <w:r w:rsidR="009E41E5">
        <w:rPr>
          <w:rFonts w:eastAsiaTheme="minorEastAsia" w:cs="Times New Roman"/>
        </w:rPr>
        <w:t>Jacobiana</w:t>
      </w:r>
      <w:proofErr w:type="spellEnd"/>
      <w:r w:rsidR="009E41E5">
        <w:rPr>
          <w:rFonts w:eastAsiaTheme="minorEastAsia" w:cs="Times New Roman"/>
        </w:rPr>
        <w:t xml:space="preserve"> existirán grados de libertad articulares innecesarios, es decir, que no será preciso mover para alcanzar las nuevas posiciones y velocidades del extremo requerido.</w:t>
      </w:r>
    </w:p>
    <w:p w:rsidR="009E41E5" w:rsidRDefault="009E41E5" w:rsidP="009A459C">
      <w:pPr>
        <w:rPr>
          <w:rFonts w:eastAsiaTheme="minorEastAsia" w:cs="Times New Roman"/>
        </w:rPr>
      </w:pPr>
      <w:r>
        <w:rPr>
          <w:rFonts w:eastAsiaTheme="minorEastAsia" w:cs="Times New Roman"/>
        </w:rPr>
        <w:t xml:space="preserve">En general, en el caso de la </w:t>
      </w:r>
      <w:proofErr w:type="spellStart"/>
      <w:r>
        <w:rPr>
          <w:rFonts w:eastAsiaTheme="minorEastAsia" w:cs="Times New Roman"/>
        </w:rPr>
        <w:t>Jacobiana</w:t>
      </w:r>
      <w:proofErr w:type="spellEnd"/>
      <w:r>
        <w:rPr>
          <w:rFonts w:eastAsiaTheme="minorEastAsia" w:cs="Times New Roman"/>
        </w:rPr>
        <w:t xml:space="preserve"> no sea cuadrada podrá ser usado algún tipo de matriz </w:t>
      </w:r>
      <w:proofErr w:type="spellStart"/>
      <w:r>
        <w:rPr>
          <w:rFonts w:eastAsiaTheme="minorEastAsia" w:cs="Times New Roman"/>
        </w:rPr>
        <w:t>pseudoinversa</w:t>
      </w:r>
      <w:proofErr w:type="spellEnd"/>
      <w:r>
        <w:rPr>
          <w:rFonts w:eastAsiaTheme="minorEastAsia" w:cs="Times New Roman"/>
        </w:rPr>
        <w:t>, como por ejemplo (JJ</w:t>
      </w:r>
      <w:r>
        <w:rPr>
          <w:rFonts w:eastAsiaTheme="minorEastAsia" w:cs="Times New Roman"/>
          <w:vertAlign w:val="superscript"/>
        </w:rPr>
        <w:t>T</w:t>
      </w:r>
      <w:r>
        <w:rPr>
          <w:rFonts w:eastAsiaTheme="minorEastAsia" w:cs="Times New Roman"/>
        </w:rPr>
        <w:t>)</w:t>
      </w:r>
      <w:r>
        <w:rPr>
          <w:rFonts w:eastAsiaTheme="minorEastAsia" w:cs="Times New Roman"/>
          <w:vertAlign w:val="superscript"/>
        </w:rPr>
        <w:t>-1</w:t>
      </w:r>
      <w:r>
        <w:rPr>
          <w:rFonts w:eastAsiaTheme="minorEastAsia" w:cs="Times New Roman"/>
        </w:rPr>
        <w:t>.</w:t>
      </w:r>
    </w:p>
    <w:p w:rsidR="009E41E5" w:rsidRPr="009E41E5" w:rsidRDefault="009E41E5" w:rsidP="009A459C">
      <w:pPr>
        <w:rPr>
          <w:rFonts w:cs="Times New Roman"/>
        </w:rPr>
      </w:pPr>
      <w:r>
        <w:rPr>
          <w:rFonts w:eastAsiaTheme="minorEastAsia" w:cs="Times New Roman"/>
        </w:rPr>
        <w:t xml:space="preserve">La tercera inversa para obtener la matriz </w:t>
      </w:r>
      <w:proofErr w:type="spellStart"/>
      <w:r>
        <w:rPr>
          <w:rFonts w:eastAsiaTheme="minorEastAsia" w:cs="Times New Roman"/>
        </w:rPr>
        <w:t>Jacobiana</w:t>
      </w:r>
      <w:proofErr w:type="spellEnd"/>
      <w:r>
        <w:rPr>
          <w:rFonts w:eastAsiaTheme="minorEastAsia" w:cs="Times New Roman"/>
        </w:rPr>
        <w:t xml:space="preserve"> inversa es repetir el procedimiento seguido para la obtención de la </w:t>
      </w:r>
      <w:proofErr w:type="spellStart"/>
      <w:r>
        <w:rPr>
          <w:rFonts w:eastAsiaTheme="minorEastAsia" w:cs="Times New Roman"/>
        </w:rPr>
        <w:t>Jacobiana</w:t>
      </w:r>
      <w:proofErr w:type="spellEnd"/>
      <w:r>
        <w:rPr>
          <w:rFonts w:eastAsiaTheme="minorEastAsia" w:cs="Times New Roman"/>
        </w:rPr>
        <w:t xml:space="preserve"> directa, pero ahora partiendo del modelo cinemático inverso. Esto es, conocida la relación:</w:t>
      </w:r>
    </w:p>
    <w:p w:rsidR="00765D38" w:rsidRPr="00765D38" w:rsidRDefault="00765D38" w:rsidP="009A459C">
      <w:pPr>
        <w:jc w:val="center"/>
        <w:rPr>
          <w:rFonts w:cs="Times New Roman"/>
        </w:rPr>
      </w:pPr>
    </w:p>
    <w:sectPr w:rsidR="00765D38" w:rsidRPr="00765D38">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C1D" w:rsidRDefault="00970C1D" w:rsidP="00DF6DD8">
      <w:pPr>
        <w:spacing w:after="0" w:line="240" w:lineRule="auto"/>
      </w:pPr>
      <w:r>
        <w:separator/>
      </w:r>
    </w:p>
  </w:endnote>
  <w:endnote w:type="continuationSeparator" w:id="0">
    <w:p w:rsidR="00970C1D" w:rsidRDefault="00970C1D" w:rsidP="00DF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AFB" w:rsidRDefault="00196AFB">
    <w:pPr>
      <w:pStyle w:val="Piedepgina"/>
    </w:pPr>
    <w:r>
      <w:tab/>
    </w:r>
    <w:r>
      <w:tab/>
    </w:r>
    <w:r>
      <w:tab/>
    </w:r>
    <w:r>
      <w:tab/>
      <w:t>Jonathan Alejandro Capuchino González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C1D" w:rsidRDefault="00970C1D" w:rsidP="00DF6DD8">
      <w:pPr>
        <w:spacing w:after="0" w:line="240" w:lineRule="auto"/>
      </w:pPr>
      <w:r>
        <w:separator/>
      </w:r>
    </w:p>
  </w:footnote>
  <w:footnote w:type="continuationSeparator" w:id="0">
    <w:p w:rsidR="00970C1D" w:rsidRDefault="00970C1D" w:rsidP="00DF6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DD8" w:rsidRPr="00DF6DD8" w:rsidRDefault="00DF6DD8" w:rsidP="00DF6DD8">
    <w:pPr>
      <w:pStyle w:val="Encabezado"/>
      <w:jc w:val="center"/>
      <w:rPr>
        <w:rFonts w:ascii="Times New Roman" w:hAnsi="Times New Roman" w:cs="Times New Roman"/>
        <w:b/>
        <w:sz w:val="40"/>
        <w:szCs w:val="40"/>
      </w:rPr>
    </w:pPr>
    <w:r w:rsidRPr="00DF6DD8">
      <w:rPr>
        <w:rFonts w:ascii="Times New Roman" w:hAnsi="Times New Roman" w:cs="Times New Roman"/>
        <w:b/>
        <w:sz w:val="40"/>
        <w:szCs w:val="40"/>
      </w:rPr>
      <w:t>Cinemática inversa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D8"/>
    <w:rsid w:val="001568FA"/>
    <w:rsid w:val="00196AFB"/>
    <w:rsid w:val="001D16DC"/>
    <w:rsid w:val="00765D38"/>
    <w:rsid w:val="00970C1D"/>
    <w:rsid w:val="009A459C"/>
    <w:rsid w:val="009E41E5"/>
    <w:rsid w:val="00A344D9"/>
    <w:rsid w:val="00AC5042"/>
    <w:rsid w:val="00BD2CB1"/>
    <w:rsid w:val="00DF6D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11C3"/>
  <w15:chartTrackingRefBased/>
  <w15:docId w15:val="{C7EBA15D-79A6-4304-B948-7FEF75B1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6D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DD8"/>
  </w:style>
  <w:style w:type="paragraph" w:styleId="Piedepgina">
    <w:name w:val="footer"/>
    <w:basedOn w:val="Normal"/>
    <w:link w:val="PiedepginaCar"/>
    <w:uiPriority w:val="99"/>
    <w:unhideWhenUsed/>
    <w:rsid w:val="00DF6D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DD8"/>
  </w:style>
  <w:style w:type="character" w:styleId="Textodelmarcadordeposicin">
    <w:name w:val="Placeholder Text"/>
    <w:basedOn w:val="Fuentedeprrafopredeter"/>
    <w:uiPriority w:val="99"/>
    <w:semiHidden/>
    <w:rsid w:val="009A4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2019-02-27T17:10:00Z</dcterms:created>
  <dcterms:modified xsi:type="dcterms:W3CDTF">2019-03-25T14:43:00Z</dcterms:modified>
</cp:coreProperties>
</file>