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7B11" w14:textId="40A875EF" w:rsidR="005201C3" w:rsidRPr="007A68AD" w:rsidRDefault="005201C3" w:rsidP="005201C3">
      <w:pPr>
        <w:spacing w:line="240" w:lineRule="auto"/>
        <w:ind w:right="-46"/>
        <w:jc w:val="both"/>
        <w:rPr>
          <w:rFonts w:cstheme="minorHAnsi"/>
          <w:b/>
          <w:bCs/>
          <w:sz w:val="24"/>
          <w:szCs w:val="24"/>
          <w:u w:val="single"/>
        </w:rPr>
      </w:pPr>
      <w:r>
        <w:rPr>
          <w:rFonts w:cstheme="minorHAnsi"/>
          <w:b/>
          <w:bCs/>
          <w:sz w:val="24"/>
          <w:szCs w:val="24"/>
          <w:u w:val="single"/>
        </w:rPr>
        <w:t xml:space="preserve">New </w:t>
      </w:r>
      <w:r w:rsidRPr="007A68AD">
        <w:rPr>
          <w:rFonts w:cstheme="minorHAnsi"/>
          <w:b/>
          <w:bCs/>
          <w:sz w:val="24"/>
          <w:szCs w:val="24"/>
          <w:u w:val="single"/>
        </w:rPr>
        <w:t xml:space="preserve">Disagreement Measure </w:t>
      </w:r>
      <w:r w:rsidR="002D254A">
        <w:rPr>
          <w:rFonts w:cstheme="minorHAnsi"/>
          <w:b/>
          <w:bCs/>
          <w:sz w:val="24"/>
          <w:szCs w:val="24"/>
          <w:u w:val="single"/>
        </w:rPr>
        <w:t>(Guttman, Kandel, Rooz and Shaton)</w:t>
      </w:r>
    </w:p>
    <w:p w14:paraId="74F63D79" w14:textId="1F7EC9CC" w:rsidR="005201C3" w:rsidRDefault="005201C3" w:rsidP="005201C3">
      <w:pPr>
        <w:spacing w:line="240" w:lineRule="auto"/>
        <w:ind w:right="-46"/>
        <w:jc w:val="both"/>
        <w:rPr>
          <w:rFonts w:cstheme="minorHAnsi"/>
          <w:i/>
          <w:iCs/>
          <w:sz w:val="24"/>
          <w:szCs w:val="24"/>
        </w:rPr>
      </w:pPr>
      <w:r w:rsidRPr="00111AF9">
        <w:rPr>
          <w:rFonts w:cstheme="minorHAnsi"/>
          <w:b/>
          <w:bCs/>
        </w:rPr>
        <w:t>Three time periods:</w:t>
      </w:r>
      <w:r w:rsidRPr="00204AE8">
        <w:rPr>
          <w:rFonts w:cstheme="minorHAnsi"/>
        </w:rPr>
        <w:t xml:space="preserve"> </w:t>
      </w:r>
      <w:r w:rsidRPr="0078436E">
        <w:rPr>
          <w:rFonts w:cstheme="minorHAnsi"/>
          <w:sz w:val="24"/>
          <w:szCs w:val="24"/>
        </w:rPr>
        <w:t xml:space="preserve"> </w:t>
      </w:r>
      <w:r w:rsidRPr="002335AE">
        <w:rPr>
          <w:rFonts w:cstheme="minorHAnsi"/>
          <w:i/>
          <w:iCs/>
          <w:sz w:val="24"/>
          <w:szCs w:val="24"/>
        </w:rPr>
        <w:t>1983-</w:t>
      </w:r>
      <w:r>
        <w:rPr>
          <w:rFonts w:cstheme="minorHAnsi"/>
          <w:i/>
          <w:iCs/>
          <w:sz w:val="24"/>
          <w:szCs w:val="24"/>
        </w:rPr>
        <w:t>2000</w:t>
      </w:r>
      <w:r w:rsidRPr="002335AE">
        <w:rPr>
          <w:rFonts w:cstheme="minorHAnsi"/>
          <w:i/>
          <w:iCs/>
          <w:sz w:val="24"/>
          <w:szCs w:val="24"/>
        </w:rPr>
        <w:t>, 200</w:t>
      </w:r>
      <w:r>
        <w:rPr>
          <w:rFonts w:cstheme="minorHAnsi"/>
          <w:i/>
          <w:iCs/>
          <w:sz w:val="24"/>
          <w:szCs w:val="24"/>
        </w:rPr>
        <w:t>1</w:t>
      </w:r>
      <w:r w:rsidRPr="002335AE">
        <w:rPr>
          <w:rFonts w:cstheme="minorHAnsi"/>
          <w:i/>
          <w:iCs/>
          <w:sz w:val="24"/>
          <w:szCs w:val="24"/>
        </w:rPr>
        <w:t>-</w:t>
      </w:r>
      <w:proofErr w:type="gramStart"/>
      <w:r w:rsidRPr="002335AE">
        <w:rPr>
          <w:rFonts w:cstheme="minorHAnsi"/>
          <w:i/>
          <w:iCs/>
          <w:sz w:val="24"/>
          <w:szCs w:val="24"/>
        </w:rPr>
        <w:t>2009 ,</w:t>
      </w:r>
      <w:proofErr w:type="gramEnd"/>
      <w:r w:rsidRPr="002335AE">
        <w:rPr>
          <w:rFonts w:cstheme="minorHAnsi"/>
          <w:i/>
          <w:iCs/>
          <w:sz w:val="24"/>
          <w:szCs w:val="24"/>
        </w:rPr>
        <w:t xml:space="preserve"> 2010-2021.</w:t>
      </w:r>
    </w:p>
    <w:p w14:paraId="5E1051A1" w14:textId="7A6971F1" w:rsidR="005F62BC" w:rsidRDefault="005F62BC" w:rsidP="005201C3">
      <w:pPr>
        <w:spacing w:line="240" w:lineRule="auto"/>
        <w:ind w:right="-46"/>
        <w:jc w:val="both"/>
        <w:rPr>
          <w:rFonts w:cstheme="minorHAnsi"/>
          <w:i/>
          <w:iCs/>
          <w:sz w:val="24"/>
          <w:szCs w:val="24"/>
        </w:rPr>
      </w:pPr>
      <w:r>
        <w:rPr>
          <w:rFonts w:cstheme="minorHAnsi"/>
          <w:i/>
          <w:iCs/>
          <w:sz w:val="24"/>
          <w:szCs w:val="24"/>
        </w:rPr>
        <w:t>Note, that since our disagreement measure is deflated by the average prior dispersion in the same quarter for the last three years, you should extract data for additional prior three years (i.e., 1980-2000; 1998-2009; 2007-2021), but present results for the above years.</w:t>
      </w:r>
    </w:p>
    <w:p w14:paraId="5A29DEF9" w14:textId="77777777" w:rsidR="005F62BC" w:rsidRPr="002335AE" w:rsidRDefault="005F62BC" w:rsidP="005201C3">
      <w:pPr>
        <w:spacing w:line="240" w:lineRule="auto"/>
        <w:ind w:right="-46"/>
        <w:jc w:val="both"/>
        <w:rPr>
          <w:rFonts w:cstheme="minorHAnsi"/>
          <w:i/>
          <w:iCs/>
          <w:sz w:val="24"/>
          <w:szCs w:val="24"/>
        </w:rPr>
      </w:pPr>
    </w:p>
    <w:p w14:paraId="25A1465E" w14:textId="77777777" w:rsidR="005201C3" w:rsidRPr="007A68AD" w:rsidRDefault="005201C3" w:rsidP="005201C3">
      <w:pPr>
        <w:spacing w:line="240" w:lineRule="auto"/>
        <w:ind w:right="-46"/>
        <w:jc w:val="both"/>
        <w:rPr>
          <w:rFonts w:cstheme="minorHAnsi"/>
          <w:i/>
          <w:iCs/>
        </w:rPr>
      </w:pPr>
      <w:r w:rsidRPr="007A68AD">
        <w:rPr>
          <w:rFonts w:cstheme="minorHAnsi"/>
          <w:b/>
          <w:bCs/>
          <w:i/>
          <w:iCs/>
        </w:rPr>
        <w:t xml:space="preserve"> Datasets:</w:t>
      </w:r>
      <w:r w:rsidRPr="007A68AD">
        <w:rPr>
          <w:rFonts w:cstheme="minorHAnsi"/>
          <w:i/>
          <w:iCs/>
        </w:rPr>
        <w:t xml:space="preserve"> </w:t>
      </w:r>
    </w:p>
    <w:p w14:paraId="639734CD" w14:textId="484DA5BC" w:rsidR="00C838E4" w:rsidRPr="00C838E4" w:rsidRDefault="005201C3" w:rsidP="00C838E4">
      <w:pPr>
        <w:pStyle w:val="ListParagraph"/>
        <w:numPr>
          <w:ilvl w:val="0"/>
          <w:numId w:val="1"/>
        </w:numPr>
        <w:spacing w:line="240" w:lineRule="auto"/>
        <w:ind w:right="-46"/>
        <w:jc w:val="both"/>
        <w:rPr>
          <w:rFonts w:cstheme="minorHAnsi"/>
          <w:i/>
          <w:iCs/>
        </w:rPr>
      </w:pPr>
      <w:r w:rsidRPr="007A68AD">
        <w:rPr>
          <w:rFonts w:cstheme="minorHAnsi"/>
          <w:i/>
          <w:iCs/>
        </w:rPr>
        <w:t xml:space="preserve">Analysts’ forecasts of EPS extracted from </w:t>
      </w:r>
      <w:r w:rsidRPr="007A68AD">
        <w:rPr>
          <w:rFonts w:cstheme="minorHAnsi" w:hint="cs"/>
          <w:i/>
          <w:iCs/>
        </w:rPr>
        <w:t xml:space="preserve">IBES </w:t>
      </w:r>
      <w:r>
        <w:rPr>
          <w:rFonts w:cstheme="minorHAnsi"/>
          <w:i/>
          <w:iCs/>
        </w:rPr>
        <w:t xml:space="preserve">detailed </w:t>
      </w:r>
      <w:r w:rsidRPr="007A68AD">
        <w:rPr>
          <w:rFonts w:cstheme="minorHAnsi"/>
          <w:i/>
          <w:iCs/>
        </w:rPr>
        <w:t xml:space="preserve">file. </w:t>
      </w:r>
    </w:p>
    <w:p w14:paraId="44F53BEF" w14:textId="4C8B3600" w:rsidR="005201C3" w:rsidRDefault="00C838E4" w:rsidP="005201C3">
      <w:pPr>
        <w:pStyle w:val="ListParagraph"/>
        <w:numPr>
          <w:ilvl w:val="0"/>
          <w:numId w:val="1"/>
        </w:numPr>
        <w:spacing w:line="240" w:lineRule="auto"/>
        <w:ind w:right="-46"/>
        <w:jc w:val="both"/>
        <w:rPr>
          <w:rFonts w:cstheme="minorHAnsi"/>
          <w:i/>
          <w:iCs/>
        </w:rPr>
      </w:pPr>
      <w:r>
        <w:rPr>
          <w:rFonts w:cstheme="minorHAnsi"/>
          <w:i/>
          <w:iCs/>
        </w:rPr>
        <w:t xml:space="preserve">Daily </w:t>
      </w:r>
      <w:r w:rsidR="00B140E2">
        <w:rPr>
          <w:rFonts w:cstheme="minorHAnsi"/>
          <w:i/>
          <w:iCs/>
        </w:rPr>
        <w:t xml:space="preserve">adjusted </w:t>
      </w:r>
      <w:r>
        <w:rPr>
          <w:rFonts w:cstheme="minorHAnsi"/>
          <w:i/>
          <w:iCs/>
        </w:rPr>
        <w:t>s</w:t>
      </w:r>
      <w:r w:rsidR="005201C3" w:rsidRPr="007A68AD">
        <w:rPr>
          <w:rFonts w:cstheme="minorHAnsi"/>
          <w:i/>
          <w:iCs/>
        </w:rPr>
        <w:t>tock returns</w:t>
      </w:r>
      <w:r w:rsidR="00B140E2">
        <w:rPr>
          <w:rFonts w:cstheme="minorHAnsi"/>
          <w:i/>
          <w:iCs/>
        </w:rPr>
        <w:t xml:space="preserve">; </w:t>
      </w:r>
      <w:r w:rsidR="003207D9">
        <w:rPr>
          <w:rFonts w:cstheme="minorHAnsi"/>
          <w:i/>
          <w:iCs/>
        </w:rPr>
        <w:t xml:space="preserve">adjusted </w:t>
      </w:r>
      <w:r w:rsidR="00B140E2">
        <w:rPr>
          <w:rFonts w:cstheme="minorHAnsi"/>
          <w:i/>
          <w:iCs/>
        </w:rPr>
        <w:t>price;</w:t>
      </w:r>
      <w:r w:rsidR="003207D9">
        <w:rPr>
          <w:rFonts w:cstheme="minorHAnsi"/>
          <w:i/>
          <w:iCs/>
        </w:rPr>
        <w:t xml:space="preserve"> adjusted</w:t>
      </w:r>
      <w:r w:rsidR="00B140E2">
        <w:rPr>
          <w:rFonts w:cstheme="minorHAnsi"/>
          <w:i/>
          <w:iCs/>
        </w:rPr>
        <w:t xml:space="preserve"> shares outstanding</w:t>
      </w:r>
      <w:r w:rsidR="00735F9B">
        <w:rPr>
          <w:rFonts w:cstheme="minorHAnsi"/>
          <w:i/>
          <w:iCs/>
        </w:rPr>
        <w:t>;</w:t>
      </w:r>
      <w:r w:rsidR="00B140E2">
        <w:rPr>
          <w:rFonts w:cstheme="minorHAnsi"/>
          <w:i/>
          <w:iCs/>
        </w:rPr>
        <w:t xml:space="preserve"> </w:t>
      </w:r>
      <w:r w:rsidR="003207D9">
        <w:rPr>
          <w:rFonts w:cstheme="minorHAnsi"/>
          <w:i/>
          <w:iCs/>
        </w:rPr>
        <w:t xml:space="preserve">adjusted </w:t>
      </w:r>
      <w:r w:rsidR="00B140E2">
        <w:rPr>
          <w:rFonts w:cstheme="minorHAnsi"/>
          <w:i/>
          <w:iCs/>
        </w:rPr>
        <w:t>short interest</w:t>
      </w:r>
      <w:r w:rsidR="00735F9B">
        <w:rPr>
          <w:rFonts w:cstheme="minorHAnsi"/>
          <w:i/>
          <w:iCs/>
        </w:rPr>
        <w:t>; and</w:t>
      </w:r>
      <w:r w:rsidR="003207D9">
        <w:rPr>
          <w:rFonts w:cstheme="minorHAnsi"/>
          <w:i/>
          <w:iCs/>
        </w:rPr>
        <w:t xml:space="preserve"> adjusted</w:t>
      </w:r>
      <w:r w:rsidR="00735F9B">
        <w:rPr>
          <w:rFonts w:cstheme="minorHAnsi"/>
          <w:i/>
          <w:iCs/>
        </w:rPr>
        <w:t xml:space="preserve"> volume are</w:t>
      </w:r>
      <w:r>
        <w:rPr>
          <w:rFonts w:cstheme="minorHAnsi"/>
          <w:i/>
          <w:iCs/>
        </w:rPr>
        <w:t xml:space="preserve"> </w:t>
      </w:r>
      <w:r w:rsidR="005201C3" w:rsidRPr="007A68AD">
        <w:rPr>
          <w:rFonts w:cstheme="minorHAnsi"/>
          <w:i/>
          <w:iCs/>
        </w:rPr>
        <w:t>retrieved from CRSP.</w:t>
      </w:r>
    </w:p>
    <w:p w14:paraId="0F091851" w14:textId="006F4882" w:rsidR="005201C3" w:rsidRDefault="005201C3" w:rsidP="005201C3">
      <w:pPr>
        <w:pStyle w:val="ListParagraph"/>
        <w:numPr>
          <w:ilvl w:val="0"/>
          <w:numId w:val="1"/>
        </w:numPr>
        <w:spacing w:line="240" w:lineRule="auto"/>
        <w:ind w:right="-46"/>
        <w:jc w:val="both"/>
        <w:rPr>
          <w:rFonts w:cstheme="minorHAnsi"/>
          <w:i/>
          <w:iCs/>
        </w:rPr>
      </w:pPr>
      <w:r>
        <w:rPr>
          <w:rFonts w:cstheme="minorHAnsi"/>
          <w:i/>
          <w:iCs/>
        </w:rPr>
        <w:t xml:space="preserve">Earnings announcement dates </w:t>
      </w:r>
      <w:r w:rsidRPr="007A68AD">
        <w:rPr>
          <w:rFonts w:cstheme="minorHAnsi"/>
          <w:i/>
          <w:iCs/>
        </w:rPr>
        <w:t xml:space="preserve">from </w:t>
      </w:r>
      <w:r w:rsidRPr="007A68AD">
        <w:rPr>
          <w:rFonts w:cstheme="minorHAnsi" w:hint="cs"/>
          <w:i/>
          <w:iCs/>
        </w:rPr>
        <w:t>COMPUSTAT</w:t>
      </w:r>
      <w:r w:rsidR="00C838E4">
        <w:rPr>
          <w:rFonts w:cstheme="minorHAnsi"/>
          <w:i/>
          <w:iCs/>
        </w:rPr>
        <w:t>, quarterly data</w:t>
      </w:r>
      <w:r w:rsidRPr="007A68AD">
        <w:rPr>
          <w:rFonts w:cstheme="minorHAnsi"/>
          <w:i/>
          <w:iCs/>
        </w:rPr>
        <w:t>.</w:t>
      </w:r>
    </w:p>
    <w:p w14:paraId="76CD72A9" w14:textId="5A68B448" w:rsidR="00C838E4" w:rsidRDefault="00C838E4" w:rsidP="005201C3">
      <w:pPr>
        <w:pStyle w:val="ListParagraph"/>
        <w:numPr>
          <w:ilvl w:val="0"/>
          <w:numId w:val="1"/>
        </w:numPr>
        <w:spacing w:line="240" w:lineRule="auto"/>
        <w:ind w:right="-46"/>
        <w:jc w:val="both"/>
        <w:rPr>
          <w:rFonts w:cstheme="minorHAnsi"/>
          <w:i/>
          <w:iCs/>
        </w:rPr>
      </w:pPr>
      <w:r>
        <w:rPr>
          <w:rFonts w:cstheme="minorHAnsi"/>
          <w:i/>
          <w:iCs/>
        </w:rPr>
        <w:t>The exact time (</w:t>
      </w:r>
      <w:r w:rsidR="00B140E2">
        <w:rPr>
          <w:rFonts w:cstheme="minorHAnsi"/>
          <w:i/>
          <w:iCs/>
        </w:rPr>
        <w:t>in addition to the day</w:t>
      </w:r>
      <w:r>
        <w:rPr>
          <w:rFonts w:cstheme="minorHAnsi"/>
          <w:i/>
          <w:iCs/>
        </w:rPr>
        <w:t>) of earnings announcement is extracted from IBES Guidance.</w:t>
      </w:r>
    </w:p>
    <w:p w14:paraId="29D68BD0" w14:textId="67416E92" w:rsidR="00C838E4" w:rsidRDefault="00C838E4" w:rsidP="005201C3">
      <w:pPr>
        <w:pStyle w:val="ListParagraph"/>
        <w:numPr>
          <w:ilvl w:val="0"/>
          <w:numId w:val="1"/>
        </w:numPr>
        <w:spacing w:line="240" w:lineRule="auto"/>
        <w:ind w:right="-46"/>
        <w:jc w:val="both"/>
        <w:rPr>
          <w:rFonts w:cstheme="minorHAnsi"/>
          <w:i/>
          <w:iCs/>
        </w:rPr>
      </w:pPr>
      <w:r>
        <w:rPr>
          <w:rFonts w:cstheme="minorHAnsi"/>
          <w:i/>
          <w:iCs/>
        </w:rPr>
        <w:t xml:space="preserve">S&amp;P 500 </w:t>
      </w:r>
      <w:r w:rsidR="00EE03BE">
        <w:rPr>
          <w:rFonts w:cstheme="minorHAnsi"/>
          <w:i/>
          <w:iCs/>
        </w:rPr>
        <w:t xml:space="preserve">index </w:t>
      </w:r>
      <w:r>
        <w:rPr>
          <w:rFonts w:cstheme="minorHAnsi"/>
          <w:i/>
          <w:iCs/>
        </w:rPr>
        <w:t>daily trading data from CRSP – this will be used to identify announcement days that are not trading dates</w:t>
      </w:r>
      <w:r w:rsidR="00B140E2">
        <w:rPr>
          <w:rFonts w:cstheme="minorHAnsi"/>
          <w:i/>
          <w:iCs/>
        </w:rPr>
        <w:t>.</w:t>
      </w:r>
    </w:p>
    <w:p w14:paraId="543BD1D8" w14:textId="1060BB5B" w:rsidR="009871D9" w:rsidRDefault="009871D9" w:rsidP="005201C3">
      <w:pPr>
        <w:pStyle w:val="ListParagraph"/>
        <w:numPr>
          <w:ilvl w:val="0"/>
          <w:numId w:val="1"/>
        </w:numPr>
        <w:spacing w:line="240" w:lineRule="auto"/>
        <w:ind w:right="-46"/>
        <w:jc w:val="both"/>
        <w:rPr>
          <w:rFonts w:cstheme="minorHAnsi"/>
          <w:i/>
          <w:iCs/>
        </w:rPr>
      </w:pPr>
      <w:r>
        <w:rPr>
          <w:rFonts w:cstheme="minorHAnsi"/>
          <w:i/>
          <w:iCs/>
        </w:rPr>
        <w:t>Linking tables.</w:t>
      </w:r>
    </w:p>
    <w:p w14:paraId="4425FA0F" w14:textId="05F00EED" w:rsidR="00C838E4" w:rsidRPr="007A68AD" w:rsidRDefault="00C838E4" w:rsidP="00D86035">
      <w:pPr>
        <w:pStyle w:val="ListParagraph"/>
        <w:spacing w:line="240" w:lineRule="auto"/>
        <w:ind w:right="-46"/>
        <w:jc w:val="both"/>
        <w:rPr>
          <w:rFonts w:cstheme="minorHAnsi"/>
          <w:i/>
          <w:iCs/>
        </w:rPr>
      </w:pPr>
    </w:p>
    <w:p w14:paraId="6AF6A2C1" w14:textId="77777777" w:rsidR="005201C3" w:rsidRPr="007A68AD" w:rsidRDefault="005201C3" w:rsidP="005201C3">
      <w:pPr>
        <w:pStyle w:val="ListParagraph"/>
        <w:spacing w:line="240" w:lineRule="auto"/>
        <w:ind w:right="-46"/>
        <w:jc w:val="both"/>
        <w:rPr>
          <w:rFonts w:cstheme="minorHAnsi"/>
          <w:i/>
          <w:iCs/>
        </w:rPr>
      </w:pPr>
    </w:p>
    <w:p w14:paraId="12CEC352" w14:textId="77777777" w:rsidR="005201C3" w:rsidRPr="007A68AD" w:rsidRDefault="005201C3" w:rsidP="005201C3">
      <w:pPr>
        <w:spacing w:line="240" w:lineRule="auto"/>
        <w:ind w:right="-46"/>
        <w:jc w:val="both"/>
        <w:rPr>
          <w:rFonts w:cstheme="minorHAnsi"/>
          <w:b/>
          <w:bCs/>
          <w:i/>
          <w:iCs/>
        </w:rPr>
      </w:pPr>
      <w:r w:rsidRPr="007A68AD">
        <w:rPr>
          <w:rFonts w:cstheme="minorHAnsi"/>
          <w:b/>
          <w:bCs/>
          <w:i/>
          <w:iCs/>
        </w:rPr>
        <w:t>Screening requirement</w:t>
      </w:r>
      <w:r w:rsidRPr="007A68AD">
        <w:rPr>
          <w:rFonts w:cstheme="minorHAnsi"/>
          <w:i/>
          <w:iCs/>
        </w:rPr>
        <w:t>:</w:t>
      </w:r>
    </w:p>
    <w:p w14:paraId="2127E859" w14:textId="77777777" w:rsidR="005201C3" w:rsidRDefault="005201C3" w:rsidP="005201C3">
      <w:pPr>
        <w:pStyle w:val="ListParagraph"/>
        <w:numPr>
          <w:ilvl w:val="0"/>
          <w:numId w:val="2"/>
        </w:numPr>
        <w:spacing w:line="240" w:lineRule="auto"/>
        <w:ind w:right="-46"/>
        <w:jc w:val="both"/>
        <w:rPr>
          <w:rFonts w:cstheme="minorHAnsi"/>
          <w:i/>
          <w:iCs/>
        </w:rPr>
      </w:pPr>
      <w:r>
        <w:rPr>
          <w:rFonts w:cstheme="minorHAnsi"/>
          <w:i/>
          <w:iCs/>
        </w:rPr>
        <w:t>We Include only US firms.</w:t>
      </w:r>
    </w:p>
    <w:p w14:paraId="130963B8" w14:textId="0A9F0535" w:rsidR="005201C3" w:rsidRDefault="005201C3" w:rsidP="005201C3">
      <w:pPr>
        <w:pStyle w:val="ListParagraph"/>
        <w:numPr>
          <w:ilvl w:val="0"/>
          <w:numId w:val="2"/>
        </w:numPr>
        <w:spacing w:line="240" w:lineRule="auto"/>
        <w:ind w:right="-46"/>
        <w:jc w:val="both"/>
        <w:rPr>
          <w:rFonts w:cstheme="minorHAnsi"/>
          <w:i/>
          <w:iCs/>
        </w:rPr>
      </w:pPr>
      <w:r>
        <w:rPr>
          <w:rFonts w:cstheme="minorHAnsi"/>
          <w:i/>
          <w:iCs/>
        </w:rPr>
        <w:t xml:space="preserve">We Include only EPS </w:t>
      </w:r>
      <w:proofErr w:type="gramStart"/>
      <w:r>
        <w:rPr>
          <w:rFonts w:cstheme="minorHAnsi"/>
          <w:i/>
          <w:iCs/>
        </w:rPr>
        <w:t>analysts</w:t>
      </w:r>
      <w:proofErr w:type="gramEnd"/>
      <w:r>
        <w:rPr>
          <w:rFonts w:cstheme="minorHAnsi"/>
          <w:i/>
          <w:iCs/>
        </w:rPr>
        <w:t xml:space="preserve"> forecasts, for fiscal year 1. </w:t>
      </w:r>
    </w:p>
    <w:p w14:paraId="1197761C" w14:textId="01BD25A9" w:rsidR="005F62BC" w:rsidRDefault="005F62BC" w:rsidP="005201C3">
      <w:pPr>
        <w:pStyle w:val="ListParagraph"/>
        <w:numPr>
          <w:ilvl w:val="0"/>
          <w:numId w:val="2"/>
        </w:numPr>
        <w:spacing w:line="240" w:lineRule="auto"/>
        <w:ind w:right="-46"/>
        <w:jc w:val="both"/>
        <w:rPr>
          <w:rFonts w:cstheme="minorHAnsi"/>
          <w:i/>
          <w:iCs/>
        </w:rPr>
      </w:pPr>
      <w:r>
        <w:rPr>
          <w:rFonts w:cstheme="minorHAnsi"/>
          <w:i/>
          <w:iCs/>
        </w:rPr>
        <w:t>We Adjust EPS forecasts to splits (i.e., using adjustment factor from CRSP)</w:t>
      </w:r>
    </w:p>
    <w:p w14:paraId="78087586" w14:textId="45100529" w:rsidR="005A4399" w:rsidRPr="008C2B01" w:rsidRDefault="005A4399" w:rsidP="005201C3">
      <w:pPr>
        <w:pStyle w:val="ListParagraph"/>
        <w:numPr>
          <w:ilvl w:val="0"/>
          <w:numId w:val="2"/>
        </w:numPr>
        <w:spacing w:line="240" w:lineRule="auto"/>
        <w:ind w:right="-46"/>
        <w:jc w:val="both"/>
        <w:rPr>
          <w:rFonts w:cstheme="minorHAnsi"/>
          <w:i/>
          <w:iCs/>
        </w:rPr>
      </w:pPr>
      <w:r>
        <w:rPr>
          <w:rFonts w:cstheme="minorHAnsi"/>
          <w:i/>
          <w:iCs/>
        </w:rPr>
        <w:t xml:space="preserve">Drop analysts forecasts with announcement date (ANNDATS) greater </w:t>
      </w:r>
      <w:proofErr w:type="spellStart"/>
      <w:r>
        <w:rPr>
          <w:rFonts w:cstheme="minorHAnsi"/>
          <w:i/>
          <w:iCs/>
        </w:rPr>
        <w:t>then</w:t>
      </w:r>
      <w:proofErr w:type="spellEnd"/>
      <w:r>
        <w:rPr>
          <w:rFonts w:cstheme="minorHAnsi"/>
          <w:i/>
          <w:iCs/>
        </w:rPr>
        <w:t xml:space="preserve"> the forecast period end date (FPEDATS) </w:t>
      </w:r>
    </w:p>
    <w:p w14:paraId="6A4344F6" w14:textId="2484CEB4" w:rsidR="005201C3" w:rsidRDefault="005201C3" w:rsidP="005201C3">
      <w:pPr>
        <w:pStyle w:val="ListParagraph"/>
        <w:numPr>
          <w:ilvl w:val="0"/>
          <w:numId w:val="2"/>
        </w:numPr>
        <w:spacing w:line="240" w:lineRule="auto"/>
        <w:ind w:right="-46"/>
        <w:jc w:val="both"/>
        <w:rPr>
          <w:rFonts w:cstheme="minorHAnsi"/>
          <w:i/>
          <w:iCs/>
        </w:rPr>
      </w:pPr>
      <w:r w:rsidRPr="007A68AD">
        <w:rPr>
          <w:rFonts w:cstheme="minorHAnsi"/>
          <w:i/>
          <w:iCs/>
        </w:rPr>
        <w:t xml:space="preserve">We require coverage of at least </w:t>
      </w:r>
      <w:r w:rsidR="00C838E4">
        <w:rPr>
          <w:rFonts w:cstheme="minorHAnsi"/>
          <w:i/>
          <w:iCs/>
        </w:rPr>
        <w:t>five</w:t>
      </w:r>
      <w:r w:rsidRPr="007A68AD">
        <w:rPr>
          <w:rFonts w:cstheme="minorHAnsi"/>
          <w:i/>
          <w:iCs/>
        </w:rPr>
        <w:t xml:space="preserve"> </w:t>
      </w:r>
      <w:r w:rsidR="005F62BC">
        <w:rPr>
          <w:rFonts w:cstheme="minorHAnsi"/>
          <w:i/>
          <w:iCs/>
        </w:rPr>
        <w:t xml:space="preserve">different </w:t>
      </w:r>
      <w:r w:rsidRPr="007A68AD">
        <w:rPr>
          <w:rFonts w:cstheme="minorHAnsi"/>
          <w:i/>
          <w:iCs/>
        </w:rPr>
        <w:t>analysts for each stock during the</w:t>
      </w:r>
      <w:r w:rsidR="00C838E4">
        <w:rPr>
          <w:rFonts w:cstheme="minorHAnsi"/>
          <w:i/>
          <w:iCs/>
        </w:rPr>
        <w:t xml:space="preserve"> two days after earnings announcement (i.e., we include only analysts forecasts that were announced at the day of earnings announcement, but after the time of earnings announcement since we know the exact hour, and the following day after earnings announcement).</w:t>
      </w:r>
    </w:p>
    <w:p w14:paraId="02E11BF9" w14:textId="0F960F32" w:rsidR="00C838E4" w:rsidRDefault="00C838E4" w:rsidP="00D86035">
      <w:pPr>
        <w:pStyle w:val="ListParagraph"/>
        <w:numPr>
          <w:ilvl w:val="0"/>
          <w:numId w:val="2"/>
        </w:numPr>
        <w:spacing w:line="240" w:lineRule="auto"/>
        <w:ind w:right="-46"/>
        <w:jc w:val="both"/>
        <w:rPr>
          <w:rFonts w:cstheme="minorHAnsi"/>
          <w:i/>
          <w:iCs/>
        </w:rPr>
      </w:pPr>
      <w:r>
        <w:rPr>
          <w:rFonts w:cstheme="minorHAnsi"/>
          <w:i/>
          <w:iCs/>
        </w:rPr>
        <w:t xml:space="preserve">For robustness test </w:t>
      </w:r>
      <w:r w:rsidR="00D86035">
        <w:rPr>
          <w:rFonts w:cstheme="minorHAnsi"/>
          <w:i/>
          <w:iCs/>
        </w:rPr>
        <w:t>w</w:t>
      </w:r>
      <w:r w:rsidR="00D86035" w:rsidRPr="007A68AD">
        <w:rPr>
          <w:rFonts w:cstheme="minorHAnsi"/>
          <w:i/>
          <w:iCs/>
        </w:rPr>
        <w:t xml:space="preserve">e require coverage of at least </w:t>
      </w:r>
      <w:r w:rsidR="00D86035">
        <w:rPr>
          <w:rFonts w:cstheme="minorHAnsi"/>
          <w:i/>
          <w:iCs/>
        </w:rPr>
        <w:t>five</w:t>
      </w:r>
      <w:r w:rsidR="005F62BC">
        <w:rPr>
          <w:rFonts w:cstheme="minorHAnsi"/>
          <w:i/>
          <w:iCs/>
        </w:rPr>
        <w:t xml:space="preserve"> different</w:t>
      </w:r>
      <w:r w:rsidR="00D86035" w:rsidRPr="007A68AD">
        <w:rPr>
          <w:rFonts w:cstheme="minorHAnsi"/>
          <w:i/>
          <w:iCs/>
        </w:rPr>
        <w:t xml:space="preserve"> analysts for each stock during the</w:t>
      </w:r>
      <w:r w:rsidR="00D86035">
        <w:rPr>
          <w:rFonts w:cstheme="minorHAnsi"/>
          <w:i/>
          <w:iCs/>
        </w:rPr>
        <w:t xml:space="preserve"> five days after earnings announcement (i.e., we include only analysts forecasts that were announced at the day of earnings announcement, but after the time of earnings announcement since we know the exact </w:t>
      </w:r>
      <w:r w:rsidR="00960B92">
        <w:rPr>
          <w:rFonts w:cstheme="minorHAnsi"/>
          <w:i/>
          <w:iCs/>
        </w:rPr>
        <w:t>time</w:t>
      </w:r>
      <w:r w:rsidR="00D86035">
        <w:rPr>
          <w:rFonts w:cstheme="minorHAnsi"/>
          <w:i/>
          <w:iCs/>
        </w:rPr>
        <w:t>, and the following 4 days after earnings announcement).</w:t>
      </w:r>
    </w:p>
    <w:p w14:paraId="30B36DCF" w14:textId="00E65606" w:rsidR="005F62BC" w:rsidRPr="00D86035" w:rsidRDefault="005F62BC" w:rsidP="00D86035">
      <w:pPr>
        <w:pStyle w:val="ListParagraph"/>
        <w:numPr>
          <w:ilvl w:val="0"/>
          <w:numId w:val="2"/>
        </w:numPr>
        <w:spacing w:line="240" w:lineRule="auto"/>
        <w:ind w:right="-46"/>
        <w:jc w:val="both"/>
        <w:rPr>
          <w:rFonts w:cstheme="minorHAnsi"/>
          <w:i/>
          <w:iCs/>
        </w:rPr>
      </w:pPr>
      <w:r>
        <w:rPr>
          <w:rFonts w:cstheme="minorHAnsi"/>
          <w:i/>
          <w:iCs/>
        </w:rPr>
        <w:t>If there are two forecasts by the same analyst in the 2 (5) day window we include only the first forecast by the same analyst.</w:t>
      </w:r>
    </w:p>
    <w:p w14:paraId="31B97745" w14:textId="77777777" w:rsidR="005201C3" w:rsidRDefault="005201C3" w:rsidP="005201C3">
      <w:pPr>
        <w:pStyle w:val="ListParagraph"/>
        <w:numPr>
          <w:ilvl w:val="0"/>
          <w:numId w:val="2"/>
        </w:numPr>
        <w:spacing w:line="240" w:lineRule="auto"/>
        <w:ind w:right="-46"/>
        <w:jc w:val="both"/>
        <w:rPr>
          <w:rFonts w:cstheme="minorHAnsi"/>
          <w:i/>
          <w:iCs/>
        </w:rPr>
      </w:pPr>
      <w:r w:rsidRPr="007A68AD">
        <w:rPr>
          <w:rFonts w:cstheme="minorHAnsi"/>
          <w:i/>
          <w:iCs/>
        </w:rPr>
        <w:t>Stocks with share price lower than 5 dollars are omitted.</w:t>
      </w:r>
    </w:p>
    <w:p w14:paraId="7F5CDDB9" w14:textId="3D746C91" w:rsidR="005A4399" w:rsidRPr="000C7B6F" w:rsidRDefault="005201C3" w:rsidP="000C7B6F">
      <w:pPr>
        <w:pStyle w:val="ListParagraph"/>
        <w:numPr>
          <w:ilvl w:val="0"/>
          <w:numId w:val="2"/>
        </w:numPr>
        <w:spacing w:line="240" w:lineRule="auto"/>
        <w:ind w:right="-46"/>
        <w:jc w:val="both"/>
        <w:rPr>
          <w:rFonts w:cstheme="minorHAnsi"/>
          <w:i/>
          <w:iCs/>
        </w:rPr>
      </w:pPr>
      <w:r>
        <w:rPr>
          <w:rFonts w:cstheme="minorHAnsi"/>
          <w:i/>
          <w:iCs/>
        </w:rPr>
        <w:t xml:space="preserve">When there are two types of securities for the same </w:t>
      </w:r>
      <w:proofErr w:type="gramStart"/>
      <w:r>
        <w:rPr>
          <w:rFonts w:cstheme="minorHAnsi"/>
          <w:i/>
          <w:iCs/>
        </w:rPr>
        <w:t>firm</w:t>
      </w:r>
      <w:proofErr w:type="gramEnd"/>
      <w:r>
        <w:rPr>
          <w:rFonts w:cstheme="minorHAnsi"/>
          <w:i/>
          <w:iCs/>
        </w:rPr>
        <w:t xml:space="preserve"> we take the most liquid one (i.e., with highest volume)</w:t>
      </w:r>
    </w:p>
    <w:p w14:paraId="769318E2" w14:textId="79AD97A1" w:rsidR="0019120F" w:rsidRPr="0019120F" w:rsidRDefault="00EE03BE" w:rsidP="0019120F">
      <w:pPr>
        <w:pStyle w:val="ListParagraph"/>
        <w:numPr>
          <w:ilvl w:val="0"/>
          <w:numId w:val="2"/>
        </w:numPr>
        <w:spacing w:line="240" w:lineRule="auto"/>
        <w:ind w:right="-46"/>
        <w:jc w:val="both"/>
        <w:rPr>
          <w:rFonts w:cstheme="minorHAnsi"/>
          <w:i/>
          <w:iCs/>
        </w:rPr>
      </w:pPr>
      <w:r>
        <w:rPr>
          <w:rFonts w:cstheme="minorHAnsi"/>
          <w:i/>
          <w:iCs/>
        </w:rPr>
        <w:t xml:space="preserve">When earnings are announced in a non-trading </w:t>
      </w:r>
      <w:proofErr w:type="gramStart"/>
      <w:r>
        <w:rPr>
          <w:rFonts w:cstheme="minorHAnsi"/>
          <w:i/>
          <w:iCs/>
        </w:rPr>
        <w:t>day</w:t>
      </w:r>
      <w:proofErr w:type="gramEnd"/>
      <w:r w:rsidR="00960B92">
        <w:rPr>
          <w:rFonts w:cstheme="minorHAnsi"/>
          <w:i/>
          <w:iCs/>
        </w:rPr>
        <w:t xml:space="preserve"> we</w:t>
      </w:r>
      <w:r>
        <w:rPr>
          <w:rFonts w:cstheme="minorHAnsi"/>
          <w:i/>
          <w:iCs/>
        </w:rPr>
        <w:t xml:space="preserve"> take the first trading day following the announcement day.</w:t>
      </w:r>
    </w:p>
    <w:p w14:paraId="246372E3" w14:textId="77777777" w:rsidR="005201C3" w:rsidRPr="007A68AD" w:rsidRDefault="005201C3" w:rsidP="005201C3">
      <w:pPr>
        <w:pStyle w:val="ListParagraph"/>
        <w:spacing w:line="240" w:lineRule="auto"/>
        <w:ind w:right="-46"/>
        <w:jc w:val="both"/>
        <w:rPr>
          <w:rFonts w:cstheme="minorHAnsi"/>
          <w:i/>
          <w:iCs/>
        </w:rPr>
      </w:pPr>
    </w:p>
    <w:p w14:paraId="163B2C49" w14:textId="41116E72" w:rsidR="005201C3" w:rsidRPr="007A68AD" w:rsidRDefault="005201C3" w:rsidP="005201C3">
      <w:pPr>
        <w:spacing w:line="240" w:lineRule="auto"/>
        <w:ind w:right="-46"/>
        <w:jc w:val="both"/>
        <w:rPr>
          <w:rFonts w:cstheme="minorHAnsi"/>
          <w:b/>
          <w:bCs/>
          <w:i/>
          <w:iCs/>
        </w:rPr>
      </w:pPr>
      <w:r w:rsidRPr="007A68AD">
        <w:rPr>
          <w:rFonts w:cstheme="minorHAnsi"/>
          <w:b/>
          <w:bCs/>
          <w:i/>
          <w:iCs/>
        </w:rPr>
        <w:t xml:space="preserve">Estimate </w:t>
      </w:r>
      <w:r w:rsidR="00D86035">
        <w:rPr>
          <w:rFonts w:cstheme="minorHAnsi"/>
          <w:b/>
          <w:bCs/>
          <w:i/>
          <w:iCs/>
        </w:rPr>
        <w:t>our Disagreement</w:t>
      </w:r>
      <w:r w:rsidRPr="007A68AD">
        <w:rPr>
          <w:rFonts w:cstheme="minorHAnsi"/>
          <w:b/>
          <w:bCs/>
          <w:i/>
          <w:iCs/>
        </w:rPr>
        <w:t xml:space="preserve"> Measure:</w:t>
      </w:r>
    </w:p>
    <w:p w14:paraId="5A3C00EB" w14:textId="1DE21548" w:rsidR="00821871" w:rsidRPr="00570C42" w:rsidRDefault="00821871" w:rsidP="00821871">
      <w:pPr>
        <w:spacing w:line="240" w:lineRule="auto"/>
        <w:ind w:right="-46"/>
        <w:jc w:val="both"/>
        <w:rPr>
          <w:rFonts w:cstheme="minorHAnsi"/>
        </w:rPr>
      </w:pPr>
      <w:r>
        <w:rPr>
          <w:rFonts w:cstheme="minorHAnsi"/>
        </w:rPr>
        <w:t>As DMS and others, w</w:t>
      </w:r>
      <w:r w:rsidRPr="00570C42">
        <w:rPr>
          <w:rFonts w:cstheme="minorHAnsi"/>
        </w:rPr>
        <w:t xml:space="preserve">e </w:t>
      </w:r>
      <w:r>
        <w:rPr>
          <w:rFonts w:cstheme="minorHAnsi"/>
        </w:rPr>
        <w:t xml:space="preserve">base </w:t>
      </w:r>
      <w:r w:rsidRPr="00570C42">
        <w:rPr>
          <w:rFonts w:cstheme="minorHAnsi"/>
        </w:rPr>
        <w:t xml:space="preserve">our measure </w:t>
      </w:r>
      <w:r>
        <w:rPr>
          <w:rFonts w:cstheme="minorHAnsi"/>
        </w:rPr>
        <w:t xml:space="preserve">on </w:t>
      </w:r>
      <w:r w:rsidRPr="00570C42">
        <w:rPr>
          <w:rFonts w:cstheme="minorHAnsi"/>
        </w:rPr>
        <w:t>the standard deviation</w:t>
      </w:r>
      <w:r>
        <w:rPr>
          <w:rFonts w:cstheme="minorHAnsi"/>
        </w:rPr>
        <w:t xml:space="preserve"> (dispersion)</w:t>
      </w:r>
      <w:r w:rsidRPr="00570C42">
        <w:rPr>
          <w:rFonts w:cstheme="minorHAnsi"/>
        </w:rPr>
        <w:t xml:space="preserve"> of the analysts’ forecasts of the annual EPS</w:t>
      </w:r>
      <w:r>
        <w:rPr>
          <w:rFonts w:cstheme="minorHAnsi"/>
        </w:rPr>
        <w:t xml:space="preserve">. The difference is in how we compute and normalize it. We conjecture that in the short window following the earning announcement, there is a lower probability of other significant public information releases. At the same time, many analysts issue new forecasts during </w:t>
      </w:r>
      <w:r>
        <w:rPr>
          <w:rFonts w:cstheme="minorHAnsi"/>
        </w:rPr>
        <w:lastRenderedPageBreak/>
        <w:t xml:space="preserve">that window, eliminating the problem of stale forecasts. Thus, we only use forecasts </w:t>
      </w:r>
      <w:r w:rsidRPr="00570C42">
        <w:rPr>
          <w:rFonts w:cstheme="minorHAnsi"/>
        </w:rPr>
        <w:t xml:space="preserve">issued during the </w:t>
      </w:r>
      <w:r>
        <w:rPr>
          <w:rFonts w:cstheme="minorHAnsi"/>
        </w:rPr>
        <w:t xml:space="preserve">first </w:t>
      </w:r>
      <w:r w:rsidRPr="00570C42">
        <w:rPr>
          <w:rFonts w:cstheme="minorHAnsi"/>
        </w:rPr>
        <w:t>2</w:t>
      </w:r>
      <w:r>
        <w:rPr>
          <w:rFonts w:cstheme="minorHAnsi"/>
        </w:rPr>
        <w:t xml:space="preserve"> (5)</w:t>
      </w:r>
      <w:r w:rsidRPr="00570C42">
        <w:rPr>
          <w:rFonts w:cstheme="minorHAnsi"/>
        </w:rPr>
        <w:t xml:space="preserve"> trading days starting from the day </w:t>
      </w:r>
      <w:r>
        <w:rPr>
          <w:rFonts w:cstheme="minorHAnsi"/>
        </w:rPr>
        <w:t>of</w:t>
      </w:r>
      <w:r w:rsidRPr="00570C42">
        <w:rPr>
          <w:rFonts w:cstheme="minorHAnsi"/>
        </w:rPr>
        <w:t xml:space="preserve"> earning announcement for stock </w:t>
      </w:r>
      <w:proofErr w:type="spellStart"/>
      <w:r w:rsidRPr="00570C42">
        <w:rPr>
          <w:rFonts w:cstheme="minorHAnsi"/>
          <w:i/>
          <w:iCs/>
        </w:rPr>
        <w:t>i</w:t>
      </w:r>
      <w:proofErr w:type="spellEnd"/>
      <w:r w:rsidRPr="00570C42">
        <w:rPr>
          <w:rFonts w:cstheme="minorHAnsi"/>
          <w:rtl/>
        </w:rPr>
        <w:t xml:space="preserve"> </w:t>
      </w:r>
      <w:r w:rsidRPr="00570C42">
        <w:rPr>
          <w:rFonts w:cstheme="minorHAnsi"/>
        </w:rPr>
        <w:t>in</w:t>
      </w:r>
      <w:r w:rsidRPr="00570C42">
        <w:rPr>
          <w:rFonts w:cstheme="minorHAnsi"/>
          <w:i/>
          <w:iCs/>
        </w:rPr>
        <w:t xml:space="preserve"> </w:t>
      </w:r>
      <w:r w:rsidRPr="00570C42">
        <w:rPr>
          <w:rFonts w:cstheme="minorHAnsi"/>
        </w:rPr>
        <w:t xml:space="preserve">quarter </w:t>
      </w:r>
      <w:r w:rsidRPr="00570C42">
        <w:rPr>
          <w:rFonts w:cstheme="minorHAnsi"/>
          <w:i/>
          <w:iCs/>
        </w:rPr>
        <w:t>q</w:t>
      </w:r>
      <w:r>
        <w:rPr>
          <w:rFonts w:cstheme="minorHAnsi"/>
          <w:i/>
          <w:iCs/>
        </w:rPr>
        <w:t xml:space="preserve"> </w:t>
      </w:r>
      <w:r w:rsidRPr="00570C42">
        <w:rPr>
          <w:rFonts w:cstheme="minorHAnsi"/>
        </w:rPr>
        <w:t>of year</w:t>
      </w:r>
      <w:r w:rsidRPr="00570C42">
        <w:rPr>
          <w:rFonts w:cstheme="minorHAnsi"/>
          <w:i/>
          <w:iCs/>
        </w:rPr>
        <w:t xml:space="preserve"> t</w:t>
      </w:r>
      <w:r w:rsidRPr="00570C42">
        <w:rPr>
          <w:rFonts w:cstheme="minorHAnsi"/>
        </w:rPr>
        <w:t xml:space="preserve">. </w:t>
      </w:r>
      <w:r>
        <w:rPr>
          <w:rFonts w:cstheme="minorHAnsi"/>
        </w:rPr>
        <w:t>We further conjecture that the level of dispersion contains a predictable component based on the identity of the firm, and the quarter. Thus, w</w:t>
      </w:r>
      <w:r w:rsidRPr="00570C42">
        <w:rPr>
          <w:rFonts w:cstheme="minorHAnsi"/>
        </w:rPr>
        <w:t xml:space="preserve">e scale </w:t>
      </w:r>
      <w:r>
        <w:rPr>
          <w:rFonts w:cstheme="minorHAnsi"/>
        </w:rPr>
        <w:t xml:space="preserve">the dispersion </w:t>
      </w:r>
      <w:r w:rsidRPr="00570C42">
        <w:rPr>
          <w:rFonts w:cstheme="minorHAnsi"/>
        </w:rPr>
        <w:t xml:space="preserve">by the average of the standard deviations </w:t>
      </w:r>
      <w:r>
        <w:rPr>
          <w:rFonts w:cstheme="minorHAnsi"/>
        </w:rPr>
        <w:t xml:space="preserve">of analysts’ forecasts </w:t>
      </w:r>
      <w:r w:rsidRPr="00570C42">
        <w:rPr>
          <w:rFonts w:cstheme="minorHAnsi"/>
        </w:rPr>
        <w:t xml:space="preserve">calculated for stock </w:t>
      </w:r>
      <w:proofErr w:type="spellStart"/>
      <w:r w:rsidRPr="00570C42">
        <w:rPr>
          <w:rFonts w:cstheme="minorHAnsi"/>
          <w:i/>
          <w:iCs/>
        </w:rPr>
        <w:t>i</w:t>
      </w:r>
      <w:proofErr w:type="spellEnd"/>
      <w:r w:rsidRPr="00570C42">
        <w:rPr>
          <w:rFonts w:cstheme="minorHAnsi"/>
          <w:i/>
          <w:iCs/>
        </w:rPr>
        <w:t xml:space="preserve"> </w:t>
      </w:r>
      <w:r w:rsidRPr="00570C42">
        <w:rPr>
          <w:rFonts w:cstheme="minorHAnsi"/>
        </w:rPr>
        <w:t>in the same</w:t>
      </w:r>
      <w:r>
        <w:rPr>
          <w:rFonts w:cstheme="minorHAnsi"/>
        </w:rPr>
        <w:t xml:space="preserve"> corresponding</w:t>
      </w:r>
      <w:r w:rsidRPr="00570C42">
        <w:rPr>
          <w:rFonts w:cstheme="minorHAnsi"/>
        </w:rPr>
        <w:t xml:space="preserve"> quarter </w:t>
      </w:r>
      <w:r w:rsidRPr="00570C42">
        <w:rPr>
          <w:rFonts w:cstheme="minorHAnsi"/>
          <w:i/>
          <w:iCs/>
        </w:rPr>
        <w:t xml:space="preserve">q </w:t>
      </w:r>
      <w:r w:rsidRPr="00570C42">
        <w:rPr>
          <w:rFonts w:cstheme="minorHAnsi"/>
        </w:rPr>
        <w:t xml:space="preserve">over the previous three years:     </w:t>
      </w:r>
    </w:p>
    <w:p w14:paraId="4AFC2225" w14:textId="77777777" w:rsidR="00821871" w:rsidRPr="00570C42" w:rsidRDefault="00821871" w:rsidP="00821871">
      <w:pPr>
        <w:spacing w:line="240" w:lineRule="auto"/>
        <w:ind w:right="-46"/>
        <w:jc w:val="both"/>
        <w:rPr>
          <w:rFonts w:eastAsiaTheme="minorEastAsia" w:cstheme="minorHAnsi"/>
          <w:bCs/>
          <w:i/>
          <w:iCs/>
        </w:rPr>
      </w:pPr>
      <m:oMathPara>
        <m:oMath>
          <m:r>
            <w:rPr>
              <w:rFonts w:ascii="Cambria Math" w:hAnsi="Cambria Math" w:cstheme="minorHAnsi"/>
            </w:rPr>
            <m:t>Unexpected Disagrement Measur</m:t>
          </m:r>
          <m:sSub>
            <m:sSubPr>
              <m:ctrlPr>
                <w:rPr>
                  <w:rFonts w:ascii="Cambria Math" w:hAnsi="Cambria Math" w:cstheme="minorHAnsi"/>
                  <w:bCs/>
                  <w:i/>
                </w:rPr>
              </m:ctrlPr>
            </m:sSubPr>
            <m:e>
              <m:r>
                <w:rPr>
                  <w:rFonts w:ascii="Cambria Math" w:hAnsi="Cambria Math" w:cstheme="minorHAnsi"/>
                </w:rPr>
                <m:t>e</m:t>
              </m:r>
            </m:e>
            <m:sub>
              <m:r>
                <w:rPr>
                  <w:rFonts w:ascii="Cambria Math" w:hAnsi="Cambria Math" w:cstheme="minorHAnsi"/>
                </w:rPr>
                <m:t>i,q,t</m:t>
              </m:r>
            </m:sub>
          </m:sSub>
          <m:r>
            <w:rPr>
              <w:rFonts w:ascii="Cambria Math" w:hAnsi="Cambria Math" w:cstheme="minorHAnsi"/>
            </w:rPr>
            <m:t xml:space="preserve">= </m:t>
          </m:r>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σ</m:t>
                  </m:r>
                  <m:d>
                    <m:dPr>
                      <m:ctrlPr>
                        <w:rPr>
                          <w:rFonts w:ascii="Cambria Math" w:hAnsi="Cambria Math" w:cstheme="minorHAnsi"/>
                          <w:bCs/>
                          <w:i/>
                          <w:iCs/>
                        </w:rPr>
                      </m:ctrlPr>
                    </m:dPr>
                    <m:e>
                      <m:r>
                        <w:rPr>
                          <w:rFonts w:ascii="Cambria Math" w:hAnsi="Cambria Math" w:cstheme="minorHAnsi"/>
                        </w:rPr>
                        <m:t>eps_forecasts</m:t>
                      </m:r>
                    </m:e>
                  </m:d>
                </m:e>
                <m:sub>
                  <m:r>
                    <w:rPr>
                      <w:rFonts w:ascii="Cambria Math" w:hAnsi="Cambria Math" w:cstheme="minorHAnsi"/>
                    </w:rPr>
                    <m:t>i,q,t</m:t>
                  </m:r>
                </m:sub>
              </m:sSub>
            </m:num>
            <m:den>
              <m:f>
                <m:fPr>
                  <m:ctrlPr>
                    <w:rPr>
                      <w:rFonts w:ascii="Cambria Math" w:hAnsi="Cambria Math" w:cstheme="minorHAnsi"/>
                      <w:bCs/>
                      <w:i/>
                      <w:iCs/>
                    </w:rPr>
                  </m:ctrlPr>
                </m:fPr>
                <m:num>
                  <m:r>
                    <w:rPr>
                      <w:rFonts w:ascii="Cambria Math" w:hAnsi="Cambria Math" w:cstheme="minorHAnsi"/>
                    </w:rPr>
                    <m:t>1</m:t>
                  </m:r>
                </m:num>
                <m:den>
                  <m:r>
                    <w:rPr>
                      <w:rFonts w:ascii="Cambria Math" w:hAnsi="Cambria Math" w:cstheme="minorHAnsi"/>
                    </w:rPr>
                    <m:t>3</m:t>
                  </m:r>
                </m:den>
              </m:f>
              <m:r>
                <w:rPr>
                  <w:rFonts w:ascii="Cambria Math" w:hAnsi="Cambria Math" w:cstheme="minorHAnsi"/>
                </w:rPr>
                <m:t xml:space="preserve"> </m:t>
              </m:r>
              <m:nary>
                <m:naryPr>
                  <m:chr m:val="∑"/>
                  <m:limLoc m:val="subSup"/>
                  <m:ctrlPr>
                    <w:rPr>
                      <w:rFonts w:ascii="Cambria Math" w:hAnsi="Cambria Math" w:cstheme="minorHAnsi"/>
                      <w:bCs/>
                      <w:i/>
                      <w:iCs/>
                    </w:rPr>
                  </m:ctrlPr>
                </m:naryPr>
                <m:sub>
                  <m:r>
                    <w:rPr>
                      <w:rFonts w:ascii="Cambria Math" w:hAnsi="Cambria Math" w:cstheme="minorHAnsi"/>
                    </w:rPr>
                    <m:t>j=1</m:t>
                  </m:r>
                </m:sub>
                <m:sup>
                  <m:r>
                    <w:rPr>
                      <w:rFonts w:ascii="Cambria Math" w:hAnsi="Cambria Math" w:cstheme="minorHAnsi"/>
                    </w:rPr>
                    <m:t>3</m:t>
                  </m:r>
                </m:sup>
                <m:e>
                  <m:sSub>
                    <m:sSubPr>
                      <m:ctrlPr>
                        <w:rPr>
                          <w:rFonts w:ascii="Cambria Math" w:hAnsi="Cambria Math" w:cstheme="minorHAnsi"/>
                          <w:bCs/>
                          <w:i/>
                        </w:rPr>
                      </m:ctrlPr>
                    </m:sSubPr>
                    <m:e>
                      <m:r>
                        <w:rPr>
                          <w:rFonts w:ascii="Cambria Math" w:hAnsi="Cambria Math" w:cstheme="minorHAnsi"/>
                        </w:rPr>
                        <m:t>σ</m:t>
                      </m:r>
                      <m:d>
                        <m:dPr>
                          <m:ctrlPr>
                            <w:rPr>
                              <w:rFonts w:ascii="Cambria Math" w:hAnsi="Cambria Math" w:cstheme="minorHAnsi"/>
                              <w:bCs/>
                              <w:i/>
                              <w:iCs/>
                            </w:rPr>
                          </m:ctrlPr>
                        </m:dPr>
                        <m:e>
                          <m:r>
                            <w:rPr>
                              <w:rFonts w:ascii="Cambria Math" w:hAnsi="Cambria Math" w:cstheme="minorHAnsi"/>
                            </w:rPr>
                            <m:t>eps_forecasts</m:t>
                          </m:r>
                        </m:e>
                      </m:d>
                    </m:e>
                    <m:sub>
                      <m:r>
                        <w:rPr>
                          <w:rFonts w:ascii="Cambria Math" w:hAnsi="Cambria Math" w:cstheme="minorHAnsi"/>
                        </w:rPr>
                        <m:t>i,q, t-j</m:t>
                      </m:r>
                    </m:sub>
                  </m:sSub>
                </m:e>
              </m:nary>
              <m:r>
                <w:rPr>
                  <w:rFonts w:ascii="Cambria Math" w:hAnsi="Cambria Math" w:cstheme="minorHAnsi"/>
                </w:rPr>
                <m:t>]</m:t>
              </m:r>
            </m:den>
          </m:f>
        </m:oMath>
      </m:oMathPara>
    </w:p>
    <w:p w14:paraId="45B6B910" w14:textId="05572A8D" w:rsidR="00821871" w:rsidRDefault="00821871" w:rsidP="00821871">
      <w:pPr>
        <w:spacing w:line="240" w:lineRule="auto"/>
        <w:rPr>
          <w:rFonts w:cstheme="minorHAnsi"/>
          <w:rtl/>
        </w:rPr>
      </w:pPr>
      <w:r w:rsidRPr="00437707">
        <w:rPr>
          <w:rFonts w:cstheme="minorHAnsi"/>
        </w:rPr>
        <w:t xml:space="preserve">This measure </w:t>
      </w:r>
      <w:r>
        <w:rPr>
          <w:rFonts w:cstheme="minorHAnsi"/>
        </w:rPr>
        <w:t xml:space="preserve">captures </w:t>
      </w:r>
      <w:r w:rsidRPr="00437707">
        <w:rPr>
          <w:rFonts w:cstheme="minorHAnsi"/>
        </w:rPr>
        <w:t>the unexpected change in disagreement, which can potentially drive trade. This is in stark difference with DMS</w:t>
      </w:r>
      <w:r>
        <w:rPr>
          <w:rFonts w:cstheme="minorHAnsi"/>
        </w:rPr>
        <w:t>, that</w:t>
      </w:r>
      <w:r w:rsidRPr="00437707">
        <w:rPr>
          <w:rFonts w:cstheme="minorHAnsi"/>
        </w:rPr>
        <w:t xml:space="preserve"> measure</w:t>
      </w:r>
      <w:r>
        <w:rPr>
          <w:rFonts w:cstheme="minorHAnsi"/>
        </w:rPr>
        <w:t xml:space="preserve"> disagreement as </w:t>
      </w:r>
      <w:r w:rsidRPr="007B77A1">
        <w:rPr>
          <w:rFonts w:cstheme="minorHAnsi"/>
        </w:rPr>
        <w:t xml:space="preserve">the standard deviation of analysts' annual EPS forecasts </w:t>
      </w:r>
      <w:r>
        <w:rPr>
          <w:rFonts w:cstheme="minorHAnsi"/>
        </w:rPr>
        <w:t>divided by</w:t>
      </w:r>
      <w:r w:rsidRPr="007B77A1">
        <w:rPr>
          <w:rFonts w:cstheme="minorHAnsi"/>
        </w:rPr>
        <w:t xml:space="preserve"> the absolute value of the mean forecast</w:t>
      </w:r>
      <w:r>
        <w:rPr>
          <w:rFonts w:cstheme="minorHAnsi"/>
        </w:rPr>
        <w:t>, which</w:t>
      </w:r>
      <w:r w:rsidRPr="00437707">
        <w:rPr>
          <w:rFonts w:cstheme="minorHAnsi"/>
        </w:rPr>
        <w:t xml:space="preserve"> captures the absolute level of </w:t>
      </w:r>
      <w:r>
        <w:rPr>
          <w:rFonts w:cstheme="minorHAnsi"/>
        </w:rPr>
        <w:t xml:space="preserve">analysts’ </w:t>
      </w:r>
      <w:r w:rsidRPr="00437707">
        <w:rPr>
          <w:rFonts w:cstheme="minorHAnsi"/>
        </w:rPr>
        <w:t xml:space="preserve">disagreement </w:t>
      </w:r>
      <w:r>
        <w:rPr>
          <w:rFonts w:cstheme="minorHAnsi"/>
        </w:rPr>
        <w:t xml:space="preserve">about the future EPS of a stock </w:t>
      </w:r>
      <w:r w:rsidRPr="00437707">
        <w:rPr>
          <w:rFonts w:cstheme="minorHAnsi"/>
        </w:rPr>
        <w:t>every month, without worrying about the predictability.</w:t>
      </w:r>
      <w:r>
        <w:rPr>
          <w:rStyle w:val="FootnoteReference"/>
          <w:rFonts w:cstheme="minorHAnsi"/>
        </w:rPr>
        <w:footnoteReference w:id="1"/>
      </w:r>
    </w:p>
    <w:p w14:paraId="6B9033FE" w14:textId="6E889EEC" w:rsidR="00821871" w:rsidRDefault="00821871" w:rsidP="005201C3">
      <w:pPr>
        <w:spacing w:line="240" w:lineRule="auto"/>
        <w:ind w:right="-46"/>
        <w:jc w:val="both"/>
        <w:rPr>
          <w:rFonts w:cstheme="minorHAnsi"/>
          <w:i/>
          <w:iCs/>
        </w:rPr>
      </w:pPr>
    </w:p>
    <w:p w14:paraId="0A45BD32" w14:textId="71FEDD0F" w:rsidR="00BE25F2" w:rsidRPr="006104E1" w:rsidRDefault="00BE25F2" w:rsidP="005201C3">
      <w:pPr>
        <w:spacing w:line="240" w:lineRule="auto"/>
        <w:ind w:right="-46"/>
        <w:jc w:val="both"/>
        <w:rPr>
          <w:rFonts w:cstheme="minorHAnsi"/>
          <w:b/>
          <w:bCs/>
          <w:i/>
          <w:iCs/>
        </w:rPr>
      </w:pPr>
      <w:r w:rsidRPr="006104E1">
        <w:rPr>
          <w:rFonts w:cstheme="minorHAnsi"/>
          <w:b/>
          <w:bCs/>
          <w:i/>
          <w:iCs/>
        </w:rPr>
        <w:t>Calculate Cumulative Excess Return around EA</w:t>
      </w:r>
      <w:r w:rsidR="00130DA2">
        <w:rPr>
          <w:rFonts w:cstheme="minorHAnsi"/>
          <w:b/>
          <w:bCs/>
          <w:i/>
          <w:iCs/>
        </w:rPr>
        <w:t xml:space="preserve"> </w:t>
      </w:r>
    </w:p>
    <w:p w14:paraId="7D1A3CA4" w14:textId="4CB5B573" w:rsidR="006104E1" w:rsidRDefault="006104E1" w:rsidP="00130DA2">
      <w:pPr>
        <w:spacing w:line="240" w:lineRule="auto"/>
        <w:ind w:right="-46"/>
        <w:jc w:val="both"/>
        <w:rPr>
          <w:rFonts w:cstheme="minorHAnsi"/>
          <w:i/>
          <w:iCs/>
        </w:rPr>
      </w:pPr>
      <w:r>
        <w:rPr>
          <w:rFonts w:cstheme="minorHAnsi"/>
          <w:i/>
          <w:iCs/>
        </w:rPr>
        <w:t xml:space="preserve">Calculate the cumulative excess </w:t>
      </w:r>
      <w:r w:rsidR="00130DA2">
        <w:rPr>
          <w:rFonts w:cstheme="minorHAnsi"/>
          <w:i/>
          <w:iCs/>
        </w:rPr>
        <w:t xml:space="preserve">adjusted </w:t>
      </w:r>
      <w:r>
        <w:rPr>
          <w:rFonts w:cstheme="minorHAnsi"/>
          <w:i/>
          <w:iCs/>
        </w:rPr>
        <w:t>return (</w:t>
      </w:r>
      <w:r w:rsidR="00130DA2">
        <w:rPr>
          <w:rFonts w:cstheme="minorHAnsi"/>
          <w:i/>
          <w:iCs/>
        </w:rPr>
        <w:t xml:space="preserve">excess </w:t>
      </w:r>
      <w:r>
        <w:rPr>
          <w:rFonts w:cstheme="minorHAnsi"/>
          <w:i/>
          <w:iCs/>
        </w:rPr>
        <w:t>over the S&amp;P 500</w:t>
      </w:r>
      <w:r w:rsidR="00130DA2">
        <w:rPr>
          <w:rFonts w:cstheme="minorHAnsi"/>
          <w:i/>
          <w:iCs/>
        </w:rPr>
        <w:t xml:space="preserve"> and adjusted for dividend and splits</w:t>
      </w:r>
      <w:r>
        <w:rPr>
          <w:rFonts w:cstheme="minorHAnsi"/>
          <w:i/>
          <w:iCs/>
        </w:rPr>
        <w:t xml:space="preserve">), for day 0 and </w:t>
      </w:r>
      <w:r w:rsidR="00130DA2">
        <w:rPr>
          <w:rFonts w:cstheme="minorHAnsi"/>
          <w:i/>
          <w:iCs/>
        </w:rPr>
        <w:t>d</w:t>
      </w:r>
      <w:r>
        <w:rPr>
          <w:rFonts w:cstheme="minorHAnsi"/>
          <w:i/>
          <w:iCs/>
        </w:rPr>
        <w:t>ay t+1</w:t>
      </w:r>
      <w:r w:rsidR="00130DA2">
        <w:rPr>
          <w:rFonts w:cstheme="minorHAnsi"/>
          <w:i/>
          <w:iCs/>
        </w:rPr>
        <w:t xml:space="preserve"> after EA, for each firm quarter observation.</w:t>
      </w:r>
      <w:r>
        <w:rPr>
          <w:rFonts w:cstheme="minorHAnsi"/>
          <w:i/>
          <w:iCs/>
        </w:rPr>
        <w:t xml:space="preserve"> </w:t>
      </w:r>
      <w:r w:rsidR="00130DA2">
        <w:rPr>
          <w:rFonts w:cstheme="minorHAnsi"/>
          <w:i/>
          <w:iCs/>
        </w:rPr>
        <w:t xml:space="preserve">Also calculate the absolute value of the cumulative excess adjusted return. </w:t>
      </w:r>
      <w:proofErr w:type="spellStart"/>
      <w:r w:rsidR="00130DA2">
        <w:rPr>
          <w:rFonts w:cstheme="minorHAnsi"/>
          <w:sz w:val="24"/>
          <w:szCs w:val="24"/>
        </w:rPr>
        <w:t>W</w:t>
      </w:r>
      <w:r w:rsidRPr="00B06F3A">
        <w:rPr>
          <w:rFonts w:cstheme="minorHAnsi"/>
          <w:sz w:val="24"/>
          <w:szCs w:val="24"/>
        </w:rPr>
        <w:t>insorize</w:t>
      </w:r>
      <w:proofErr w:type="spellEnd"/>
      <w:r w:rsidRPr="00B06F3A">
        <w:rPr>
          <w:rFonts w:cstheme="minorHAnsi"/>
          <w:sz w:val="24"/>
          <w:szCs w:val="24"/>
        </w:rPr>
        <w:t xml:space="preserve"> </w:t>
      </w:r>
      <w:r w:rsidR="00130DA2">
        <w:rPr>
          <w:rFonts w:cstheme="minorHAnsi"/>
          <w:sz w:val="24"/>
          <w:szCs w:val="24"/>
        </w:rPr>
        <w:t xml:space="preserve">both variables </w:t>
      </w:r>
      <w:r w:rsidRPr="00B06F3A">
        <w:rPr>
          <w:rFonts w:cstheme="minorHAnsi"/>
          <w:sz w:val="24"/>
          <w:szCs w:val="24"/>
        </w:rPr>
        <w:t>at 1% and 99% of their distribution</w:t>
      </w:r>
      <w:r w:rsidR="00130DA2">
        <w:rPr>
          <w:rFonts w:cstheme="minorHAnsi"/>
          <w:sz w:val="24"/>
          <w:szCs w:val="24"/>
        </w:rPr>
        <w:t>.</w:t>
      </w:r>
    </w:p>
    <w:p w14:paraId="00A113F4" w14:textId="77777777" w:rsidR="00BE25F2" w:rsidRPr="00BE25F2" w:rsidRDefault="00BE25F2" w:rsidP="005201C3">
      <w:pPr>
        <w:spacing w:line="240" w:lineRule="auto"/>
        <w:ind w:right="-46"/>
        <w:jc w:val="both"/>
        <w:rPr>
          <w:rFonts w:cstheme="minorHAnsi"/>
          <w:i/>
          <w:iCs/>
        </w:rPr>
      </w:pPr>
    </w:p>
    <w:p w14:paraId="551E74E6" w14:textId="06488404" w:rsidR="00BE25F2" w:rsidRPr="006104E1" w:rsidRDefault="00BE25F2" w:rsidP="005201C3">
      <w:pPr>
        <w:spacing w:line="240" w:lineRule="auto"/>
        <w:ind w:right="-46"/>
        <w:jc w:val="both"/>
        <w:rPr>
          <w:rFonts w:cstheme="minorHAnsi"/>
          <w:b/>
          <w:bCs/>
          <w:i/>
          <w:iCs/>
        </w:rPr>
      </w:pPr>
      <w:r w:rsidRPr="006104E1">
        <w:rPr>
          <w:rFonts w:cstheme="minorHAnsi"/>
          <w:b/>
          <w:bCs/>
          <w:i/>
          <w:iCs/>
        </w:rPr>
        <w:t>Calculate</w:t>
      </w:r>
      <w:r w:rsidR="006339F9">
        <w:rPr>
          <w:rFonts w:cstheme="minorHAnsi"/>
          <w:b/>
          <w:bCs/>
          <w:i/>
          <w:iCs/>
        </w:rPr>
        <w:t xml:space="preserve"> Buy and Hold </w:t>
      </w:r>
      <w:r w:rsidRPr="006104E1">
        <w:rPr>
          <w:rFonts w:cstheme="minorHAnsi"/>
          <w:b/>
          <w:bCs/>
          <w:i/>
          <w:iCs/>
        </w:rPr>
        <w:t>Return Following EA</w:t>
      </w:r>
    </w:p>
    <w:p w14:paraId="43C29EA0" w14:textId="6DB278AD" w:rsidR="00BC388B" w:rsidRDefault="0081691A" w:rsidP="005201C3">
      <w:pPr>
        <w:spacing w:line="240" w:lineRule="auto"/>
        <w:ind w:right="-46"/>
        <w:jc w:val="both"/>
        <w:rPr>
          <w:rFonts w:cstheme="minorHAnsi"/>
          <w:sz w:val="24"/>
          <w:szCs w:val="24"/>
        </w:rPr>
      </w:pPr>
      <w:r>
        <w:rPr>
          <w:rFonts w:cstheme="minorHAnsi"/>
          <w:sz w:val="24"/>
          <w:szCs w:val="24"/>
        </w:rPr>
        <w:t xml:space="preserve">Calculate </w:t>
      </w:r>
      <w:r w:rsidR="00BC388B">
        <w:rPr>
          <w:rFonts w:cstheme="minorHAnsi"/>
          <w:sz w:val="24"/>
          <w:szCs w:val="24"/>
        </w:rPr>
        <w:t>the buy and hold</w:t>
      </w:r>
      <w:r w:rsidR="004F4785">
        <w:rPr>
          <w:rFonts w:cstheme="minorHAnsi"/>
          <w:sz w:val="24"/>
          <w:szCs w:val="24"/>
        </w:rPr>
        <w:t xml:space="preserve"> excess</w:t>
      </w:r>
      <w:r w:rsidR="00BC388B">
        <w:rPr>
          <w:rFonts w:cstheme="minorHAnsi"/>
          <w:sz w:val="24"/>
          <w:szCs w:val="24"/>
        </w:rPr>
        <w:t xml:space="preserve"> return for a firm-quarter observation in the 21 trading days after EA (i.e., from day +2 to day +22 after EA)</w:t>
      </w:r>
      <w:r w:rsidR="004F4785">
        <w:rPr>
          <w:rFonts w:cstheme="minorHAnsi"/>
          <w:sz w:val="24"/>
          <w:szCs w:val="24"/>
        </w:rPr>
        <w:t xml:space="preserve">, and separately for the next 21 trading days EA (i.e., from day +23 to day +43 after EA). </w:t>
      </w:r>
    </w:p>
    <w:p w14:paraId="5D2D3D61" w14:textId="77777777" w:rsidR="00BE25F2" w:rsidRPr="00BE25F2" w:rsidRDefault="00BE25F2" w:rsidP="005201C3">
      <w:pPr>
        <w:spacing w:line="240" w:lineRule="auto"/>
        <w:ind w:right="-46"/>
        <w:jc w:val="both"/>
        <w:rPr>
          <w:rFonts w:cstheme="minorHAnsi"/>
          <w:i/>
          <w:iCs/>
        </w:rPr>
      </w:pPr>
    </w:p>
    <w:p w14:paraId="0552F2DF" w14:textId="15F1389C" w:rsidR="00821871" w:rsidRPr="00BE25F2" w:rsidRDefault="000C7B6F" w:rsidP="005201C3">
      <w:pPr>
        <w:spacing w:line="240" w:lineRule="auto"/>
        <w:ind w:right="-46"/>
        <w:jc w:val="both"/>
        <w:rPr>
          <w:rFonts w:cstheme="minorHAnsi"/>
          <w:b/>
          <w:bCs/>
          <w:i/>
          <w:iCs/>
        </w:rPr>
      </w:pPr>
      <w:r w:rsidRPr="00BE25F2">
        <w:rPr>
          <w:rFonts w:cstheme="minorHAnsi"/>
          <w:b/>
          <w:bCs/>
          <w:i/>
          <w:iCs/>
        </w:rPr>
        <w:t>Calculate Abnormal Volume</w:t>
      </w:r>
    </w:p>
    <w:p w14:paraId="00F87000" w14:textId="1516B980" w:rsidR="000C7B6F" w:rsidRDefault="000C7B6F" w:rsidP="005201C3">
      <w:pPr>
        <w:spacing w:line="240" w:lineRule="auto"/>
        <w:ind w:right="-46"/>
        <w:jc w:val="both"/>
        <w:rPr>
          <w:rFonts w:cstheme="minorHAnsi"/>
        </w:rPr>
      </w:pPr>
      <w:r w:rsidRPr="000C7B6F">
        <w:rPr>
          <w:rFonts w:cstheme="minorHAnsi"/>
        </w:rPr>
        <w:t>Abnormal volume is calculated in a similar manner to Livnat &amp; Lerman (2009)</w:t>
      </w:r>
      <w:r w:rsidR="008E4389">
        <w:rPr>
          <w:rFonts w:cstheme="minorHAnsi"/>
        </w:rPr>
        <w:t xml:space="preserve"> and Collins et al. (2009)</w:t>
      </w:r>
      <w:r w:rsidRPr="000C7B6F">
        <w:rPr>
          <w:rFonts w:cstheme="minorHAnsi"/>
        </w:rPr>
        <w:t>:</w:t>
      </w:r>
    </w:p>
    <w:p w14:paraId="23D71E3F" w14:textId="76C6EF03" w:rsidR="008E4389" w:rsidRDefault="008E4389" w:rsidP="004132B7">
      <w:pPr>
        <w:spacing w:line="240" w:lineRule="auto"/>
        <w:ind w:right="-46"/>
        <w:jc w:val="both"/>
      </w:pPr>
      <w:r>
        <w:t>We estimate abnormal trading volume as average daily share trading volume over the event period divided by the normal daily share volume during the non-event period. The event period is the two days after earnings announcement (i.e., day</w:t>
      </w:r>
      <w:r w:rsidR="004132B7">
        <w:t xml:space="preserve"> 0 and day +1 after EA. Day 0 is the EA day</w:t>
      </w:r>
      <w:r>
        <w:t>)</w:t>
      </w:r>
      <w:r w:rsidR="004132B7">
        <w:t xml:space="preserve">. The </w:t>
      </w:r>
      <w:r>
        <w:t>non-event period is taken to be days -52 through -8 relative to earnings announcement date</w:t>
      </w:r>
      <w:r w:rsidR="004132B7">
        <w:t xml:space="preserve"> (but we make sure that these days do not include the two days after the prior</w:t>
      </w:r>
      <w:r w:rsidR="003B7678">
        <w:t xml:space="preserve"> quarter</w:t>
      </w:r>
      <w:r w:rsidR="004132B7">
        <w:t xml:space="preserve"> EA day)</w:t>
      </w:r>
      <w:r>
        <w:t xml:space="preserve">. </w:t>
      </w:r>
      <w:r w:rsidR="001C6395">
        <w:t xml:space="preserve">Thus, </w:t>
      </w:r>
      <w:r w:rsidR="00776DD8">
        <w:t xml:space="preserve">we </w:t>
      </w:r>
      <w:r w:rsidR="001C6395">
        <w:t xml:space="preserve">designate the abnormal volume for firm </w:t>
      </w:r>
      <w:proofErr w:type="spellStart"/>
      <w:r w:rsidR="001C6395">
        <w:t>i</w:t>
      </w:r>
      <w:proofErr w:type="spellEnd"/>
      <w:r w:rsidR="001C6395">
        <w:t xml:space="preserve"> at earnings announcement of quarter q </w:t>
      </w:r>
      <w:r w:rsidR="00776DD8">
        <w:t xml:space="preserve">in year t </w:t>
      </w:r>
      <w:r w:rsidR="001C6395">
        <w:t>as:</w:t>
      </w:r>
    </w:p>
    <w:p w14:paraId="7B341E75" w14:textId="7A5B7D39" w:rsidR="004132B7" w:rsidRPr="00570C42" w:rsidRDefault="00000000" w:rsidP="004132B7">
      <w:pPr>
        <w:spacing w:line="240" w:lineRule="auto"/>
        <w:ind w:right="-46"/>
        <w:jc w:val="both"/>
        <w:rPr>
          <w:rFonts w:eastAsiaTheme="minorEastAsia" w:cstheme="minorHAnsi"/>
          <w:bCs/>
          <w:i/>
          <w:iCs/>
        </w:rPr>
      </w:pPr>
      <m:oMathPara>
        <m:oMath>
          <m:sSub>
            <m:sSubPr>
              <m:ctrlPr>
                <w:rPr>
                  <w:rFonts w:ascii="Cambria Math" w:hAnsi="Cambria Math" w:cstheme="minorHAnsi"/>
                  <w:bCs/>
                  <w:i/>
                </w:rPr>
              </m:ctrlPr>
            </m:sSubPr>
            <m:e>
              <m:r>
                <w:rPr>
                  <w:rFonts w:ascii="Cambria Math" w:hAnsi="Cambria Math" w:cstheme="minorHAnsi"/>
                </w:rPr>
                <m:t>ABVOLUME</m:t>
              </m:r>
            </m:e>
            <m:sub>
              <m:r>
                <w:rPr>
                  <w:rFonts w:ascii="Cambria Math" w:hAnsi="Cambria Math" w:cstheme="minorHAnsi"/>
                </w:rPr>
                <m:t>i,q,t</m:t>
              </m:r>
            </m:sub>
          </m:sSub>
          <m:r>
            <w:rPr>
              <w:rFonts w:ascii="Cambria Math" w:hAnsi="Cambria Math" w:cstheme="minorHAnsi"/>
            </w:rPr>
            <m:t xml:space="preserve">= </m:t>
          </m:r>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AVG</m:t>
                  </m:r>
                </m:e>
                <m:sub>
                  <m:r>
                    <w:rPr>
                      <w:rFonts w:ascii="Cambria Math" w:hAnsi="Cambria Math" w:cstheme="minorHAnsi"/>
                    </w:rPr>
                    <m:t>d ∈</m:t>
                  </m:r>
                  <m:d>
                    <m:dPr>
                      <m:begChr m:val="["/>
                      <m:endChr m:val="]"/>
                      <m:ctrlPr>
                        <w:rPr>
                          <w:rFonts w:ascii="Cambria Math" w:hAnsi="Cambria Math" w:cstheme="minorHAnsi"/>
                          <w:i/>
                        </w:rPr>
                      </m:ctrlPr>
                    </m:dPr>
                    <m:e>
                      <m:r>
                        <w:rPr>
                          <w:rFonts w:ascii="Cambria Math" w:hAnsi="Cambria Math" w:cstheme="minorHAnsi"/>
                        </w:rPr>
                        <m:t>event</m:t>
                      </m:r>
                    </m:e>
                  </m:d>
                </m:sub>
              </m:sSub>
              <m:sSub>
                <m:sSubPr>
                  <m:ctrlPr>
                    <w:rPr>
                      <w:rFonts w:ascii="Cambria Math" w:hAnsi="Cambria Math" w:cstheme="minorHAnsi"/>
                      <w:bCs/>
                      <w:i/>
                      <w:iCs/>
                    </w:rPr>
                  </m:ctrlPr>
                </m:sSubPr>
                <m:e>
                  <m:r>
                    <w:rPr>
                      <w:rFonts w:ascii="Cambria Math" w:hAnsi="Cambria Math" w:cstheme="minorHAnsi"/>
                    </w:rPr>
                    <m:t>[VOL</m:t>
                  </m:r>
                </m:e>
                <m:sub>
                  <m:r>
                    <w:rPr>
                      <w:rFonts w:ascii="Cambria Math" w:hAnsi="Cambria Math" w:cstheme="minorHAnsi"/>
                    </w:rPr>
                    <m:t>i, q,t,d</m:t>
                  </m:r>
                </m:sub>
              </m:sSub>
              <m:r>
                <w:rPr>
                  <w:rFonts w:ascii="Cambria Math" w:hAnsi="Cambria Math" w:cstheme="minorHAnsi"/>
                </w:rPr>
                <m:t>]</m:t>
              </m:r>
            </m:num>
            <m:den>
              <m:sSub>
                <m:sSubPr>
                  <m:ctrlPr>
                    <w:rPr>
                      <w:rFonts w:ascii="Cambria Math" w:hAnsi="Cambria Math" w:cstheme="minorHAnsi"/>
                      <w:bCs/>
                      <w:i/>
                      <w:iCs/>
                    </w:rPr>
                  </m:ctrlPr>
                </m:sSubPr>
                <m:e>
                  <m:r>
                    <w:rPr>
                      <w:rFonts w:ascii="Cambria Math" w:hAnsi="Cambria Math" w:cstheme="minorHAnsi"/>
                    </w:rPr>
                    <m:t>AVG</m:t>
                  </m:r>
                </m:e>
                <m:sub>
                  <m:r>
                    <w:rPr>
                      <w:rFonts w:ascii="Cambria Math" w:hAnsi="Cambria Math" w:cstheme="minorHAnsi"/>
                    </w:rPr>
                    <m:t>d ∈</m:t>
                  </m:r>
                  <m:d>
                    <m:dPr>
                      <m:begChr m:val="["/>
                      <m:endChr m:val="]"/>
                      <m:ctrlPr>
                        <w:rPr>
                          <w:rFonts w:ascii="Cambria Math" w:hAnsi="Cambria Math" w:cstheme="minorHAnsi"/>
                          <w:i/>
                        </w:rPr>
                      </m:ctrlPr>
                    </m:dPr>
                    <m:e>
                      <m:r>
                        <w:rPr>
                          <w:rFonts w:ascii="Cambria Math" w:hAnsi="Cambria Math" w:cstheme="minorHAnsi"/>
                        </w:rPr>
                        <m:t>non-event</m:t>
                      </m:r>
                    </m:e>
                  </m:d>
                </m:sub>
              </m:sSub>
              <m:sSub>
                <m:sSubPr>
                  <m:ctrlPr>
                    <w:rPr>
                      <w:rFonts w:ascii="Cambria Math" w:hAnsi="Cambria Math" w:cstheme="minorHAnsi"/>
                      <w:bCs/>
                      <w:i/>
                      <w:iCs/>
                    </w:rPr>
                  </m:ctrlPr>
                </m:sSubPr>
                <m:e>
                  <m:r>
                    <w:rPr>
                      <w:rFonts w:ascii="Cambria Math" w:hAnsi="Cambria Math" w:cstheme="minorHAnsi"/>
                    </w:rPr>
                    <m:t>[VOL</m:t>
                  </m:r>
                </m:e>
                <m:sub>
                  <m:r>
                    <w:rPr>
                      <w:rFonts w:ascii="Cambria Math" w:hAnsi="Cambria Math" w:cstheme="minorHAnsi"/>
                    </w:rPr>
                    <m:t>i, q,t,d</m:t>
                  </m:r>
                </m:sub>
              </m:sSub>
              <m:r>
                <w:rPr>
                  <w:rFonts w:ascii="Cambria Math" w:hAnsi="Cambria Math" w:cstheme="minorHAnsi"/>
                </w:rPr>
                <m:t>]</m:t>
              </m:r>
            </m:den>
          </m:f>
          <m:r>
            <w:rPr>
              <w:rFonts w:ascii="Cambria Math" w:hAnsi="Cambria Math" w:cstheme="minorHAnsi"/>
            </w:rPr>
            <m:t>-1</m:t>
          </m:r>
        </m:oMath>
      </m:oMathPara>
    </w:p>
    <w:p w14:paraId="5F8E17FB" w14:textId="540E7132" w:rsidR="000C7B6F" w:rsidRDefault="00776DD8" w:rsidP="0019120F">
      <w:pPr>
        <w:spacing w:line="240" w:lineRule="auto"/>
        <w:ind w:right="-46"/>
        <w:jc w:val="both"/>
      </w:pPr>
      <w:r>
        <w:t xml:space="preserve">where periods are as indicated above, and </w:t>
      </w:r>
      <m:oMath>
        <m:sSub>
          <m:sSubPr>
            <m:ctrlPr>
              <w:rPr>
                <w:rFonts w:ascii="Cambria Math" w:hAnsi="Cambria Math" w:cstheme="minorHAnsi"/>
                <w:bCs/>
                <w:i/>
                <w:iCs/>
              </w:rPr>
            </m:ctrlPr>
          </m:sSubPr>
          <m:e>
            <m:r>
              <w:rPr>
                <w:rFonts w:ascii="Cambria Math" w:hAnsi="Cambria Math" w:cstheme="minorHAnsi"/>
              </w:rPr>
              <m:t>[VOL</m:t>
            </m:r>
          </m:e>
          <m:sub>
            <m:r>
              <w:rPr>
                <w:rFonts w:ascii="Cambria Math" w:hAnsi="Cambria Math" w:cstheme="minorHAnsi"/>
              </w:rPr>
              <m:t>i, q,t,d</m:t>
            </m:r>
          </m:sub>
        </m:sSub>
      </m:oMath>
      <w:r w:rsidR="003B7678">
        <w:rPr>
          <w:rFonts w:eastAsiaTheme="minorEastAsia"/>
          <w:bCs/>
          <w:iCs/>
        </w:rPr>
        <w:t>]</w:t>
      </w:r>
      <w:r>
        <w:rPr>
          <w:rFonts w:eastAsiaTheme="minorEastAsia"/>
          <w:bCs/>
          <w:iCs/>
        </w:rPr>
        <w:t xml:space="preserve"> </w:t>
      </w:r>
      <w:r>
        <w:t>is the daily trading</w:t>
      </w:r>
      <w:r w:rsidR="00BE25F2">
        <w:t xml:space="preserve"> adjusted</w:t>
      </w:r>
      <w:r>
        <w:t xml:space="preserve"> volume in millions of shares on day d obtained from CRSP. The abnormal trading volume measures the percentage of change in daily trading </w:t>
      </w:r>
      <w:r w:rsidR="00BE25F2">
        <w:t xml:space="preserve">adjusted </w:t>
      </w:r>
      <w:r>
        <w:t xml:space="preserve">volume during the event period relative to the non-event period. We </w:t>
      </w:r>
      <w:r>
        <w:lastRenderedPageBreak/>
        <w:t>exclude observations where the average volume in the non-event period is equal to zero</w:t>
      </w:r>
      <w:r w:rsidR="00BE25F2">
        <w:t xml:space="preserve">. </w:t>
      </w:r>
      <w:r>
        <w:t xml:space="preserve"> </w:t>
      </w:r>
      <w:proofErr w:type="spellStart"/>
      <w:r w:rsidR="006104E1" w:rsidRPr="00B06F3A">
        <w:rPr>
          <w:rFonts w:cstheme="minorHAnsi"/>
          <w:sz w:val="24"/>
          <w:szCs w:val="24"/>
        </w:rPr>
        <w:t>winsorize</w:t>
      </w:r>
      <w:proofErr w:type="spellEnd"/>
      <w:r w:rsidR="006104E1" w:rsidRPr="00B06F3A">
        <w:rPr>
          <w:rFonts w:cstheme="minorHAnsi"/>
          <w:sz w:val="24"/>
          <w:szCs w:val="24"/>
        </w:rPr>
        <w:t xml:space="preserve"> at 1% and 99% of their distribution</w:t>
      </w:r>
      <w:r w:rsidR="0019120F">
        <w:t>.</w:t>
      </w:r>
    </w:p>
    <w:p w14:paraId="49197F9A" w14:textId="7D87FADD" w:rsidR="0019120F" w:rsidRDefault="0019120F" w:rsidP="0019120F">
      <w:pPr>
        <w:spacing w:line="240" w:lineRule="auto"/>
        <w:ind w:right="-46"/>
        <w:jc w:val="both"/>
      </w:pPr>
    </w:p>
    <w:p w14:paraId="64AFEBFD" w14:textId="3CE2A032" w:rsidR="0019120F" w:rsidRPr="0019120F" w:rsidRDefault="0019120F" w:rsidP="0019120F">
      <w:pPr>
        <w:spacing w:line="240" w:lineRule="auto"/>
        <w:ind w:right="-46"/>
        <w:jc w:val="both"/>
        <w:rPr>
          <w:b/>
          <w:bCs/>
        </w:rPr>
      </w:pPr>
      <w:r w:rsidRPr="0019120F">
        <w:rPr>
          <w:b/>
          <w:bCs/>
        </w:rPr>
        <w:t>Calculate volume and short interest over shares:</w:t>
      </w:r>
    </w:p>
    <w:p w14:paraId="545C96E8" w14:textId="7F163405" w:rsidR="0081691A" w:rsidRPr="0081691A" w:rsidRDefault="0019120F" w:rsidP="0019120F">
      <w:pPr>
        <w:pStyle w:val="ListParagraph"/>
        <w:numPr>
          <w:ilvl w:val="0"/>
          <w:numId w:val="4"/>
        </w:numPr>
        <w:spacing w:line="240" w:lineRule="auto"/>
        <w:ind w:right="-46"/>
        <w:jc w:val="center"/>
      </w:pPr>
      <w:r>
        <w:t>Calculate the daily volume over the number of shares outstanding (for this measure you do not need to use adjusted volume or shares since we use the same day data to construct it)</w:t>
      </w:r>
      <w:r w:rsidR="0081691A">
        <w:t xml:space="preserve">, </w:t>
      </w:r>
      <w:r w:rsidR="0081691A" w:rsidRPr="0081691A">
        <w:rPr>
          <w:rFonts w:cstheme="minorHAnsi"/>
          <w:sz w:val="24"/>
          <w:szCs w:val="24"/>
        </w:rPr>
        <w:t>for each of the 60 days after EA (i.e., day +2 till day +60 after EA)</w:t>
      </w:r>
      <w:r w:rsidR="0081691A">
        <w:rPr>
          <w:rFonts w:cstheme="minorHAnsi"/>
          <w:sz w:val="24"/>
          <w:szCs w:val="24"/>
        </w:rPr>
        <w:t>:</w:t>
      </w:r>
    </w:p>
    <w:p w14:paraId="11D699AF" w14:textId="77777777" w:rsidR="0081691A" w:rsidRPr="0081691A" w:rsidRDefault="0081691A" w:rsidP="0081691A">
      <w:pPr>
        <w:pStyle w:val="ListParagraph"/>
        <w:spacing w:line="240" w:lineRule="auto"/>
        <w:ind w:right="-46"/>
      </w:pPr>
    </w:p>
    <w:p w14:paraId="46BA6ED8" w14:textId="46507CC7" w:rsidR="0019120F" w:rsidRDefault="00000000" w:rsidP="0081691A">
      <w:pPr>
        <w:pStyle w:val="ListParagraph"/>
        <w:spacing w:line="240" w:lineRule="auto"/>
        <w:ind w:right="-46"/>
        <w:jc w:val="center"/>
      </w:pPr>
      <m:oMath>
        <m:sSub>
          <m:sSubPr>
            <m:ctrlPr>
              <w:rPr>
                <w:rFonts w:ascii="Cambria Math" w:hAnsi="Cambria Math" w:cstheme="minorHAnsi"/>
                <w:bCs/>
                <w:i/>
              </w:rPr>
            </m:ctrlPr>
          </m:sSubPr>
          <m:e>
            <m:r>
              <m:rPr>
                <m:sty m:val="p"/>
              </m:rPr>
              <w:rPr>
                <w:rFonts w:ascii="Cambria Math" w:hAnsi="Cambria Math"/>
              </w:rPr>
              <m:t>VOLUME_OVER_OSHARES</m:t>
            </m:r>
          </m:e>
          <m:sub>
            <m:r>
              <w:rPr>
                <w:rFonts w:ascii="Cambria Math" w:hAnsi="Cambria Math" w:cstheme="minorHAnsi"/>
              </w:rPr>
              <m:t>i,q,t,d</m:t>
            </m:r>
          </m:sub>
        </m:sSub>
        <m:r>
          <w:rPr>
            <w:rFonts w:ascii="Cambria Math" w:eastAsiaTheme="minorEastAsia" w:hAnsi="Cambria Math"/>
          </w:rPr>
          <m:t xml:space="preserve">= </m:t>
        </m:r>
        <m:sSub>
          <m:sSubPr>
            <m:ctrlPr>
              <w:rPr>
                <w:rFonts w:ascii="Cambria Math" w:hAnsi="Cambria Math" w:cstheme="minorHAnsi"/>
                <w:bCs/>
                <w:i/>
              </w:rPr>
            </m:ctrlPr>
          </m:sSubPr>
          <m:e>
            <m:r>
              <m:rPr>
                <m:sty m:val="p"/>
              </m:rPr>
              <w:rPr>
                <w:rFonts w:ascii="Cambria Math" w:hAnsi="Cambria Math"/>
              </w:rPr>
              <m:t>VOL</m:t>
            </m:r>
          </m:e>
          <m:sub>
            <m:r>
              <w:rPr>
                <w:rFonts w:ascii="Cambria Math" w:hAnsi="Cambria Math" w:cstheme="minorHAnsi"/>
              </w:rPr>
              <m:t>i,q,t,d</m:t>
            </m:r>
          </m:sub>
        </m:sSub>
        <m:r>
          <w:rPr>
            <w:rFonts w:ascii="Cambria Math" w:eastAsiaTheme="minorEastAsia" w:hAnsi="Cambria Math"/>
          </w:rPr>
          <m:t>/</m:t>
        </m:r>
        <m:sSub>
          <m:sSubPr>
            <m:ctrlPr>
              <w:rPr>
                <w:rFonts w:ascii="Cambria Math" w:hAnsi="Cambria Math" w:cstheme="minorHAnsi"/>
                <w:bCs/>
                <w:i/>
              </w:rPr>
            </m:ctrlPr>
          </m:sSubPr>
          <m:e>
            <m:r>
              <w:rPr>
                <w:rFonts w:ascii="Cambria Math" w:hAnsi="Cambria Math" w:cstheme="minorHAnsi"/>
              </w:rPr>
              <m:t>SHROUT</m:t>
            </m:r>
          </m:e>
          <m:sub>
            <m:r>
              <w:rPr>
                <w:rFonts w:ascii="Cambria Math" w:hAnsi="Cambria Math" w:cstheme="minorHAnsi"/>
              </w:rPr>
              <m:t>i,q,t,d</m:t>
            </m:r>
          </m:sub>
        </m:sSub>
      </m:oMath>
      <w:r w:rsidR="0081691A">
        <w:rPr>
          <w:rFonts w:eastAsiaTheme="minorEastAsia"/>
          <w:bCs/>
        </w:rPr>
        <w:t xml:space="preserve"> </w:t>
      </w:r>
    </w:p>
    <w:p w14:paraId="553BD0C2" w14:textId="77777777" w:rsidR="0081691A" w:rsidRDefault="0081691A" w:rsidP="0081691A">
      <w:pPr>
        <w:pStyle w:val="ListParagraph"/>
        <w:spacing w:line="240" w:lineRule="auto"/>
        <w:ind w:right="-46"/>
        <w:jc w:val="center"/>
      </w:pPr>
    </w:p>
    <w:p w14:paraId="7B4A7AC9" w14:textId="58E69ED4" w:rsidR="0019120F" w:rsidRDefault="0019120F" w:rsidP="0019120F">
      <w:pPr>
        <w:pStyle w:val="ListParagraph"/>
        <w:numPr>
          <w:ilvl w:val="0"/>
          <w:numId w:val="4"/>
        </w:numPr>
        <w:spacing w:line="240" w:lineRule="auto"/>
        <w:ind w:right="-46"/>
        <w:jc w:val="both"/>
      </w:pPr>
      <w:r>
        <w:t xml:space="preserve">Calculate short interest over the number of shares outstanding at the day of short interest (again, for this measure you do not need to use adjusted data since we use the same day </w:t>
      </w:r>
      <w:r w:rsidR="0081691A">
        <w:t>data</w:t>
      </w:r>
      <w:r>
        <w:t xml:space="preserve"> to construct it)</w:t>
      </w:r>
      <w:r w:rsidR="0081691A">
        <w:t xml:space="preserve">, </w:t>
      </w:r>
      <w:r w:rsidR="0081691A">
        <w:rPr>
          <w:rFonts w:cstheme="minorHAnsi"/>
          <w:sz w:val="24"/>
          <w:szCs w:val="24"/>
        </w:rPr>
        <w:t>for each of the 60 days after EA (i.e., day +2 till day +60 after EA)</w:t>
      </w:r>
      <w:r>
        <w:t>:</w:t>
      </w:r>
    </w:p>
    <w:p w14:paraId="22681F88" w14:textId="60656530" w:rsidR="0081691A" w:rsidRDefault="00000000" w:rsidP="0081691A">
      <w:pPr>
        <w:spacing w:line="240" w:lineRule="auto"/>
        <w:ind w:right="-46"/>
        <w:jc w:val="center"/>
      </w:pPr>
      <m:oMathPara>
        <m:oMath>
          <m:sSub>
            <m:sSubPr>
              <m:ctrlPr>
                <w:rPr>
                  <w:rFonts w:ascii="Cambria Math" w:hAnsi="Cambria Math" w:cstheme="minorHAnsi"/>
                  <w:bCs/>
                  <w:i/>
                </w:rPr>
              </m:ctrlPr>
            </m:sSubPr>
            <m:e>
              <m:r>
                <m:rPr>
                  <m:sty m:val="p"/>
                </m:rPr>
                <w:rPr>
                  <w:rFonts w:ascii="Cambria Math" w:hAnsi="Cambria Math"/>
                </w:rPr>
                <m:t>SHORTINT_OVER_OSHARES</m:t>
              </m:r>
            </m:e>
            <m:sub>
              <m:r>
                <w:rPr>
                  <w:rFonts w:ascii="Cambria Math" w:hAnsi="Cambria Math" w:cstheme="minorHAnsi"/>
                </w:rPr>
                <m:t>i,q,t,d</m:t>
              </m:r>
            </m:sub>
          </m:sSub>
          <m:r>
            <w:rPr>
              <w:rFonts w:ascii="Cambria Math" w:eastAsiaTheme="minorEastAsia" w:hAnsi="Cambria Math"/>
            </w:rPr>
            <m:t xml:space="preserve">= </m:t>
          </m:r>
          <m:sSub>
            <m:sSubPr>
              <m:ctrlPr>
                <w:rPr>
                  <w:rFonts w:ascii="Cambria Math" w:hAnsi="Cambria Math" w:cstheme="minorHAnsi"/>
                  <w:bCs/>
                  <w:i/>
                </w:rPr>
              </m:ctrlPr>
            </m:sSubPr>
            <m:e>
              <m:r>
                <m:rPr>
                  <m:sty m:val="p"/>
                </m:rPr>
                <w:rPr>
                  <w:rFonts w:ascii="Cambria Math" w:hAnsi="Cambria Math"/>
                </w:rPr>
                <m:t>shortint</m:t>
              </m:r>
            </m:e>
            <m:sub>
              <m:r>
                <w:rPr>
                  <w:rFonts w:ascii="Cambria Math" w:hAnsi="Cambria Math" w:cstheme="minorHAnsi"/>
                </w:rPr>
                <m:t>i,q,t,d</m:t>
              </m:r>
            </m:sub>
          </m:sSub>
          <m:r>
            <w:rPr>
              <w:rFonts w:ascii="Cambria Math" w:eastAsiaTheme="minorEastAsia" w:hAnsi="Cambria Math"/>
            </w:rPr>
            <m:t>/</m:t>
          </m:r>
          <m:sSub>
            <m:sSubPr>
              <m:ctrlPr>
                <w:rPr>
                  <w:rFonts w:ascii="Cambria Math" w:hAnsi="Cambria Math" w:cstheme="minorHAnsi"/>
                  <w:bCs/>
                  <w:i/>
                </w:rPr>
              </m:ctrlPr>
            </m:sSubPr>
            <m:e>
              <m:r>
                <w:rPr>
                  <w:rFonts w:ascii="Cambria Math" w:hAnsi="Cambria Math" w:cstheme="minorHAnsi"/>
                </w:rPr>
                <m:t>SHROUT</m:t>
              </m:r>
            </m:e>
            <m:sub>
              <m:r>
                <w:rPr>
                  <w:rFonts w:ascii="Cambria Math" w:hAnsi="Cambria Math" w:cstheme="minorHAnsi"/>
                </w:rPr>
                <m:t>i,q,t,d</m:t>
              </m:r>
            </m:sub>
          </m:sSub>
        </m:oMath>
      </m:oMathPara>
    </w:p>
    <w:p w14:paraId="599D1C10" w14:textId="67C64674" w:rsidR="0019120F" w:rsidRDefault="0019120F" w:rsidP="0019120F">
      <w:pPr>
        <w:spacing w:line="240" w:lineRule="auto"/>
        <w:ind w:right="-46"/>
        <w:jc w:val="center"/>
      </w:pPr>
    </w:p>
    <w:p w14:paraId="248CDE9C" w14:textId="41714BEA" w:rsidR="0019120F" w:rsidRPr="0019120F" w:rsidRDefault="003B0F36" w:rsidP="0019120F">
      <w:pPr>
        <w:spacing w:line="240" w:lineRule="auto"/>
        <w:ind w:right="-46"/>
        <w:jc w:val="both"/>
      </w:pPr>
      <w:r>
        <w:t>Start by presenting the following tables (I would like to make sure that our results are the same</w:t>
      </w:r>
      <w:r w:rsidR="004F4785">
        <w:t>.</w:t>
      </w:r>
      <w:r>
        <w:t xml:space="preserve"> </w:t>
      </w:r>
      <w:r w:rsidR="004F4785">
        <w:t>O</w:t>
      </w:r>
      <w:r>
        <w:t xml:space="preserve">nce we are confident </w:t>
      </w:r>
      <w:r w:rsidR="004F4785">
        <w:t>that the calculations are correct</w:t>
      </w:r>
      <w:r w:rsidR="00296E11">
        <w:t>,</w:t>
      </w:r>
      <w:r>
        <w:t xml:space="preserve"> I’ll sen</w:t>
      </w:r>
      <w:r w:rsidR="004F4785">
        <w:t>d</w:t>
      </w:r>
      <w:r>
        <w:t xml:space="preserve"> additional tables that we’d like to generate):</w:t>
      </w:r>
    </w:p>
    <w:p w14:paraId="26EFEC98" w14:textId="77777777" w:rsidR="000C7B6F" w:rsidRDefault="000C7B6F" w:rsidP="005201C3">
      <w:pPr>
        <w:spacing w:line="240" w:lineRule="auto"/>
        <w:ind w:right="-46"/>
        <w:jc w:val="both"/>
        <w:rPr>
          <w:rFonts w:cstheme="minorHAnsi"/>
          <w:b/>
          <w:bCs/>
          <w:i/>
          <w:iCs/>
        </w:rPr>
      </w:pPr>
    </w:p>
    <w:p w14:paraId="6C153501" w14:textId="58714564" w:rsidR="005201C3" w:rsidRPr="007A68AD" w:rsidRDefault="005201C3" w:rsidP="005201C3">
      <w:pPr>
        <w:spacing w:line="240" w:lineRule="auto"/>
        <w:ind w:right="-46"/>
        <w:jc w:val="both"/>
        <w:rPr>
          <w:rFonts w:cstheme="minorHAnsi"/>
          <w:b/>
          <w:bCs/>
          <w:i/>
          <w:iCs/>
        </w:rPr>
      </w:pPr>
      <w:r w:rsidRPr="007A68AD">
        <w:rPr>
          <w:rFonts w:cstheme="minorHAnsi"/>
          <w:b/>
          <w:bCs/>
          <w:i/>
          <w:iCs/>
        </w:rPr>
        <w:t xml:space="preserve">Replicate Table II, </w:t>
      </w:r>
      <w:r>
        <w:rPr>
          <w:rFonts w:cstheme="minorHAnsi"/>
          <w:b/>
          <w:bCs/>
          <w:i/>
          <w:iCs/>
        </w:rPr>
        <w:t>P</w:t>
      </w:r>
      <w:r w:rsidRPr="007A68AD">
        <w:rPr>
          <w:rFonts w:cstheme="minorHAnsi"/>
          <w:b/>
          <w:bCs/>
          <w:i/>
          <w:iCs/>
        </w:rPr>
        <w:t xml:space="preserve">anel </w:t>
      </w:r>
      <w:r>
        <w:rPr>
          <w:rFonts w:cstheme="minorHAnsi"/>
          <w:b/>
          <w:bCs/>
          <w:i/>
          <w:iCs/>
        </w:rPr>
        <w:t>A</w:t>
      </w:r>
      <w:r w:rsidR="00296E11">
        <w:rPr>
          <w:rFonts w:cstheme="minorHAnsi"/>
          <w:b/>
          <w:bCs/>
          <w:i/>
          <w:iCs/>
        </w:rPr>
        <w:t xml:space="preserve"> and B</w:t>
      </w:r>
      <w:r w:rsidRPr="007A68AD">
        <w:rPr>
          <w:rFonts w:cstheme="minorHAnsi"/>
          <w:b/>
          <w:bCs/>
          <w:i/>
          <w:iCs/>
        </w:rPr>
        <w:t>, of DMS</w:t>
      </w:r>
      <w:r w:rsidR="00821871">
        <w:rPr>
          <w:rFonts w:cstheme="minorHAnsi"/>
          <w:b/>
          <w:bCs/>
          <w:i/>
          <w:iCs/>
        </w:rPr>
        <w:t xml:space="preserve"> using our disagreement measure</w:t>
      </w:r>
      <w:r w:rsidRPr="007A68AD">
        <w:rPr>
          <w:rFonts w:cstheme="minorHAnsi"/>
          <w:b/>
          <w:bCs/>
          <w:i/>
          <w:iCs/>
        </w:rPr>
        <w:t>:</w:t>
      </w:r>
    </w:p>
    <w:p w14:paraId="049F695E" w14:textId="46424C9C" w:rsidR="005201C3" w:rsidRDefault="005201C3" w:rsidP="005201C3">
      <w:pPr>
        <w:spacing w:line="240" w:lineRule="auto"/>
        <w:ind w:right="-46"/>
        <w:jc w:val="both"/>
        <w:rPr>
          <w:rFonts w:cstheme="minorHAnsi"/>
          <w:i/>
          <w:iCs/>
        </w:rPr>
      </w:pPr>
      <w:r w:rsidRPr="007A68AD">
        <w:rPr>
          <w:rFonts w:cstheme="minorHAnsi"/>
          <w:i/>
          <w:iCs/>
        </w:rPr>
        <w:t xml:space="preserve">Calculate a portfolio strategy as </w:t>
      </w:r>
      <w:r w:rsidR="00296E11" w:rsidRPr="007A68AD">
        <w:rPr>
          <w:rFonts w:cstheme="minorHAnsi"/>
          <w:i/>
          <w:iCs/>
        </w:rPr>
        <w:t>follows</w:t>
      </w:r>
      <w:r w:rsidRPr="007A68AD">
        <w:rPr>
          <w:rFonts w:cstheme="minorHAnsi"/>
          <w:i/>
          <w:iCs/>
        </w:rPr>
        <w:t xml:space="preserve">: each </w:t>
      </w:r>
      <w:r w:rsidR="003B0F36">
        <w:rPr>
          <w:rFonts w:cstheme="minorHAnsi"/>
          <w:i/>
          <w:iCs/>
        </w:rPr>
        <w:t>quarter</w:t>
      </w:r>
      <w:r w:rsidRPr="007A68AD">
        <w:rPr>
          <w:rFonts w:cstheme="minorHAnsi"/>
          <w:i/>
          <w:iCs/>
        </w:rPr>
        <w:t xml:space="preserve"> stocks are sorted into five groups based on the level of market capitalization of the previous </w:t>
      </w:r>
      <w:r w:rsidR="003B0F36">
        <w:rPr>
          <w:rFonts w:cstheme="minorHAnsi"/>
          <w:i/>
          <w:iCs/>
        </w:rPr>
        <w:t>quarter</w:t>
      </w:r>
      <w:r w:rsidRPr="007A68AD">
        <w:rPr>
          <w:rFonts w:cstheme="minorHAnsi"/>
          <w:i/>
          <w:iCs/>
        </w:rPr>
        <w:t xml:space="preserve">. Stocks in each size group are then sorted into five additional groups based on </w:t>
      </w:r>
      <w:r w:rsidR="00821871">
        <w:rPr>
          <w:rFonts w:cstheme="minorHAnsi"/>
          <w:i/>
          <w:iCs/>
        </w:rPr>
        <w:t xml:space="preserve">our </w:t>
      </w:r>
      <w:r w:rsidRPr="007A68AD">
        <w:rPr>
          <w:rFonts w:cstheme="minorHAnsi"/>
          <w:i/>
          <w:iCs/>
        </w:rPr>
        <w:t>dis</w:t>
      </w:r>
      <w:r w:rsidR="00821871">
        <w:rPr>
          <w:rFonts w:cstheme="minorHAnsi"/>
          <w:i/>
          <w:iCs/>
        </w:rPr>
        <w:t xml:space="preserve">agreement measure </w:t>
      </w:r>
      <w:r w:rsidRPr="007A68AD">
        <w:rPr>
          <w:rFonts w:cstheme="minorHAnsi"/>
          <w:i/>
          <w:iCs/>
        </w:rPr>
        <w:t xml:space="preserve">for the previous </w:t>
      </w:r>
      <w:r w:rsidR="003B0F36">
        <w:rPr>
          <w:rFonts w:cstheme="minorHAnsi"/>
          <w:i/>
          <w:iCs/>
        </w:rPr>
        <w:t xml:space="preserve">quarter. </w:t>
      </w:r>
      <w:r w:rsidRPr="007A68AD">
        <w:rPr>
          <w:rFonts w:cstheme="minorHAnsi"/>
          <w:i/>
          <w:iCs/>
        </w:rPr>
        <w:t xml:space="preserve">Stocks are held for one month. Calculate the monthly portfolio adjusted return as the equal-weighted average of the adjusted return of all the stocks in the portfolios. </w:t>
      </w:r>
    </w:p>
    <w:p w14:paraId="7299F451" w14:textId="641A9940" w:rsidR="005201C3" w:rsidRPr="00354482" w:rsidRDefault="005201C3" w:rsidP="005201C3">
      <w:pPr>
        <w:pStyle w:val="ListParagraph"/>
        <w:numPr>
          <w:ilvl w:val="0"/>
          <w:numId w:val="3"/>
        </w:numPr>
        <w:spacing w:line="240" w:lineRule="auto"/>
        <w:ind w:right="-46"/>
        <w:jc w:val="both"/>
        <w:rPr>
          <w:rFonts w:cstheme="minorHAnsi"/>
          <w:i/>
          <w:iCs/>
        </w:rPr>
      </w:pPr>
      <w:r w:rsidRPr="00354482">
        <w:rPr>
          <w:rFonts w:cstheme="minorHAnsi"/>
          <w:i/>
          <w:iCs/>
        </w:rPr>
        <w:t>Show replication of table 2</w:t>
      </w:r>
      <w:r w:rsidR="00296E11">
        <w:rPr>
          <w:rFonts w:cstheme="minorHAnsi"/>
          <w:i/>
          <w:iCs/>
        </w:rPr>
        <w:t>, Panel A (mean returns)</w:t>
      </w:r>
      <w:r w:rsidRPr="00354482">
        <w:rPr>
          <w:rFonts w:cstheme="minorHAnsi"/>
          <w:i/>
          <w:iCs/>
        </w:rPr>
        <w:t xml:space="preserve"> for all the stocks with fiscal year-end of December</w:t>
      </w:r>
      <w:r w:rsidR="003B0F36">
        <w:rPr>
          <w:rFonts w:cstheme="minorHAnsi"/>
          <w:i/>
          <w:iCs/>
        </w:rPr>
        <w:t>, for the period 2010-2020.</w:t>
      </w:r>
      <w:r w:rsidR="004F4785">
        <w:rPr>
          <w:rFonts w:cstheme="minorHAnsi"/>
          <w:i/>
          <w:iCs/>
        </w:rPr>
        <w:t xml:space="preserve"> The return are the mean of the buy and hold return for 21 trading days after EA.</w:t>
      </w:r>
    </w:p>
    <w:p w14:paraId="173EB7F9" w14:textId="77777777" w:rsidR="005201C3" w:rsidRPr="002D08BF" w:rsidRDefault="005201C3" w:rsidP="005201C3">
      <w:pPr>
        <w:spacing w:line="240" w:lineRule="auto"/>
        <w:ind w:left="1440" w:right="-46"/>
        <w:jc w:val="both"/>
        <w:rPr>
          <w:rFonts w:cstheme="minorHAnsi"/>
          <w:b/>
          <w:bCs/>
          <w:i/>
          <w:iCs/>
        </w:rPr>
      </w:pPr>
      <w:r>
        <w:rPr>
          <w:rFonts w:cstheme="minorHAnsi"/>
          <w:b/>
          <w:bCs/>
          <w:i/>
          <w:iCs/>
        </w:rPr>
        <w:t xml:space="preserve">For Illustration: </w:t>
      </w:r>
      <w:r w:rsidRPr="002D08BF">
        <w:rPr>
          <w:rFonts w:cstheme="minorHAnsi"/>
          <w:b/>
          <w:bCs/>
          <w:i/>
          <w:iCs/>
        </w:rPr>
        <w:t>Table 2 of DMS (1983-</w:t>
      </w:r>
      <w:r>
        <w:rPr>
          <w:rFonts w:cstheme="minorHAnsi"/>
          <w:b/>
          <w:bCs/>
          <w:i/>
          <w:iCs/>
        </w:rPr>
        <w:t>2000</w:t>
      </w:r>
      <w:r w:rsidRPr="002D08BF">
        <w:rPr>
          <w:rFonts w:cstheme="minorHAnsi"/>
          <w:b/>
          <w:bCs/>
          <w:i/>
          <w:iCs/>
        </w:rPr>
        <w:t>)</w:t>
      </w:r>
    </w:p>
    <w:p w14:paraId="5C247856" w14:textId="77777777" w:rsidR="005201C3" w:rsidRPr="007A68AD" w:rsidRDefault="005201C3" w:rsidP="005201C3">
      <w:pPr>
        <w:spacing w:line="240" w:lineRule="auto"/>
        <w:ind w:right="-46"/>
        <w:jc w:val="center"/>
        <w:rPr>
          <w:rFonts w:cstheme="minorHAnsi"/>
          <w:i/>
          <w:iCs/>
        </w:rPr>
      </w:pPr>
      <w:r>
        <w:rPr>
          <w:rFonts w:cstheme="minorHAnsi"/>
          <w:i/>
          <w:iCs/>
          <w:noProof/>
        </w:rPr>
        <w:drawing>
          <wp:inline distT="0" distB="0" distL="0" distR="0" wp14:anchorId="174F4327" wp14:editId="56CFDC80">
            <wp:extent cx="4277131" cy="16700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1558"/>
                    <a:stretch/>
                  </pic:blipFill>
                  <pic:spPr bwMode="auto">
                    <a:xfrm>
                      <a:off x="0" y="0"/>
                      <a:ext cx="4288089" cy="1674329"/>
                    </a:xfrm>
                    <a:prstGeom prst="rect">
                      <a:avLst/>
                    </a:prstGeom>
                    <a:noFill/>
                    <a:ln>
                      <a:noFill/>
                    </a:ln>
                    <a:extLst>
                      <a:ext uri="{53640926-AAD7-44D8-BBD7-CCE9431645EC}">
                        <a14:shadowObscured xmlns:a14="http://schemas.microsoft.com/office/drawing/2010/main"/>
                      </a:ext>
                    </a:extLst>
                  </pic:spPr>
                </pic:pic>
              </a:graphicData>
            </a:graphic>
          </wp:inline>
        </w:drawing>
      </w:r>
    </w:p>
    <w:p w14:paraId="67C924CF" w14:textId="44C1C361" w:rsidR="00296E11" w:rsidRDefault="00296E11" w:rsidP="00296E11">
      <w:pPr>
        <w:pStyle w:val="ListParagraph"/>
        <w:numPr>
          <w:ilvl w:val="0"/>
          <w:numId w:val="3"/>
        </w:numPr>
        <w:spacing w:line="240" w:lineRule="auto"/>
        <w:ind w:right="-46"/>
        <w:jc w:val="both"/>
        <w:rPr>
          <w:rFonts w:cstheme="minorHAnsi"/>
          <w:i/>
          <w:iCs/>
        </w:rPr>
      </w:pPr>
      <w:r w:rsidRPr="00354482">
        <w:rPr>
          <w:rFonts w:cstheme="minorHAnsi"/>
          <w:i/>
          <w:iCs/>
        </w:rPr>
        <w:t>Show replication of table 2</w:t>
      </w:r>
      <w:r>
        <w:rPr>
          <w:rFonts w:cstheme="minorHAnsi"/>
          <w:i/>
          <w:iCs/>
        </w:rPr>
        <w:t>, Panel B (mean dispersion)</w:t>
      </w:r>
      <w:r w:rsidRPr="00354482">
        <w:rPr>
          <w:rFonts w:cstheme="minorHAnsi"/>
          <w:i/>
          <w:iCs/>
        </w:rPr>
        <w:t xml:space="preserve"> for all the stocks with fiscal year-end of December</w:t>
      </w:r>
      <w:r>
        <w:rPr>
          <w:rFonts w:cstheme="minorHAnsi"/>
          <w:i/>
          <w:iCs/>
        </w:rPr>
        <w:t>, for the period 2010-2020.</w:t>
      </w:r>
    </w:p>
    <w:p w14:paraId="4B475343" w14:textId="1487B70E" w:rsidR="00296E11" w:rsidRPr="00354482" w:rsidRDefault="00296E11" w:rsidP="00296E11">
      <w:pPr>
        <w:pStyle w:val="ListParagraph"/>
        <w:spacing w:line="240" w:lineRule="auto"/>
        <w:ind w:right="-46"/>
        <w:jc w:val="both"/>
        <w:rPr>
          <w:rFonts w:cstheme="minorHAnsi"/>
          <w:i/>
          <w:iCs/>
        </w:rPr>
      </w:pPr>
      <w:r>
        <w:rPr>
          <w:rFonts w:cstheme="minorHAnsi"/>
          <w:i/>
          <w:iCs/>
          <w:noProof/>
        </w:rPr>
        <w:lastRenderedPageBreak/>
        <w:drawing>
          <wp:inline distT="0" distB="0" distL="0" distR="0" wp14:anchorId="13F3DEC5" wp14:editId="5E20346A">
            <wp:extent cx="5731510" cy="16376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37665"/>
                    </a:xfrm>
                    <a:prstGeom prst="rect">
                      <a:avLst/>
                    </a:prstGeom>
                    <a:noFill/>
                    <a:ln>
                      <a:noFill/>
                    </a:ln>
                  </pic:spPr>
                </pic:pic>
              </a:graphicData>
            </a:graphic>
          </wp:inline>
        </w:drawing>
      </w:r>
    </w:p>
    <w:p w14:paraId="63484D44" w14:textId="77777777" w:rsidR="00296E11" w:rsidRPr="00296E11" w:rsidRDefault="00296E11" w:rsidP="00296E11">
      <w:pPr>
        <w:pStyle w:val="ListParagraph"/>
        <w:spacing w:line="240" w:lineRule="auto"/>
        <w:ind w:right="-46"/>
        <w:jc w:val="both"/>
        <w:rPr>
          <w:rFonts w:cstheme="minorHAnsi"/>
          <w:u w:val="single"/>
        </w:rPr>
      </w:pPr>
    </w:p>
    <w:p w14:paraId="19180A94" w14:textId="0868DC24" w:rsidR="00BB1065" w:rsidRPr="002D1611" w:rsidRDefault="005201C3" w:rsidP="00BB1065">
      <w:pPr>
        <w:pStyle w:val="ListParagraph"/>
        <w:numPr>
          <w:ilvl w:val="0"/>
          <w:numId w:val="3"/>
        </w:numPr>
        <w:spacing w:line="240" w:lineRule="auto"/>
        <w:ind w:right="-46"/>
        <w:jc w:val="both"/>
        <w:rPr>
          <w:rFonts w:cstheme="minorHAnsi"/>
          <w:u w:val="single"/>
        </w:rPr>
      </w:pPr>
      <w:r w:rsidRPr="002D1611">
        <w:rPr>
          <w:rFonts w:cstheme="minorHAnsi"/>
        </w:rPr>
        <w:t xml:space="preserve">Calculate a transition matrix (i.e., the probability of a firm switching between dispersion quintiles from one </w:t>
      </w:r>
      <w:r w:rsidR="00E0537D" w:rsidRPr="002D1611">
        <w:rPr>
          <w:rFonts w:cstheme="minorHAnsi"/>
          <w:b/>
          <w:bCs/>
        </w:rPr>
        <w:t>quarter</w:t>
      </w:r>
      <w:r w:rsidRPr="002D1611">
        <w:rPr>
          <w:rFonts w:cstheme="minorHAnsi"/>
        </w:rPr>
        <w:t xml:space="preserve"> to the next). Show a transition matrix for firms with December as fiscal year end</w:t>
      </w:r>
      <w:r w:rsidR="00296E11">
        <w:rPr>
          <w:rFonts w:cstheme="minorHAnsi"/>
        </w:rPr>
        <w:t>.</w:t>
      </w:r>
    </w:p>
    <w:p w14:paraId="5E14029A" w14:textId="77777777" w:rsidR="00BB1065" w:rsidRDefault="00BB1065" w:rsidP="00BB1065">
      <w:pPr>
        <w:spacing w:line="240" w:lineRule="auto"/>
        <w:ind w:right="-46"/>
        <w:jc w:val="both"/>
        <w:rPr>
          <w:rFonts w:cstheme="minorHAnsi"/>
          <w:u w:val="single"/>
          <w:rtl/>
        </w:rPr>
      </w:pPr>
    </w:p>
    <w:p w14:paraId="5CD5396A" w14:textId="77777777" w:rsidR="00BB1065" w:rsidRDefault="00BB1065" w:rsidP="00BB1065">
      <w:pPr>
        <w:spacing w:line="240" w:lineRule="auto"/>
        <w:rPr>
          <w:rFonts w:cstheme="minorHAnsi"/>
          <w:rtl/>
        </w:rPr>
      </w:pPr>
    </w:p>
    <w:p w14:paraId="286E6F5B" w14:textId="77777777" w:rsidR="00E53B8E" w:rsidRDefault="00E53B8E"/>
    <w:sectPr w:rsidR="00E53B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EB2C3" w14:textId="77777777" w:rsidR="00254998" w:rsidRDefault="00254998" w:rsidP="00BB1065">
      <w:pPr>
        <w:spacing w:after="0" w:line="240" w:lineRule="auto"/>
      </w:pPr>
      <w:r>
        <w:separator/>
      </w:r>
    </w:p>
  </w:endnote>
  <w:endnote w:type="continuationSeparator" w:id="0">
    <w:p w14:paraId="12D1BFE3" w14:textId="77777777" w:rsidR="00254998" w:rsidRDefault="00254998" w:rsidP="00BB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DA030" w14:textId="77777777" w:rsidR="00254998" w:rsidRDefault="00254998" w:rsidP="00BB1065">
      <w:pPr>
        <w:spacing w:after="0" w:line="240" w:lineRule="auto"/>
      </w:pPr>
      <w:r>
        <w:separator/>
      </w:r>
    </w:p>
  </w:footnote>
  <w:footnote w:type="continuationSeparator" w:id="0">
    <w:p w14:paraId="7353F542" w14:textId="77777777" w:rsidR="00254998" w:rsidRDefault="00254998" w:rsidP="00BB1065">
      <w:pPr>
        <w:spacing w:after="0" w:line="240" w:lineRule="auto"/>
      </w:pPr>
      <w:r>
        <w:continuationSeparator/>
      </w:r>
    </w:p>
  </w:footnote>
  <w:footnote w:id="1">
    <w:p w14:paraId="0DE66991" w14:textId="77777777" w:rsidR="00821871" w:rsidRDefault="00821871" w:rsidP="00821871">
      <w:pPr>
        <w:pStyle w:val="FootnoteText"/>
      </w:pPr>
      <w:r>
        <w:rPr>
          <w:rStyle w:val="FootnoteReference"/>
        </w:rPr>
        <w:footnoteRef/>
      </w:r>
      <w:r>
        <w:t xml:space="preserve"> Berkman et al. (2009) and others also use the level measures without the discussion of predictability or public information arrival.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73CD"/>
    <w:multiLevelType w:val="hybridMultilevel"/>
    <w:tmpl w:val="86B2C4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293604"/>
    <w:multiLevelType w:val="hybridMultilevel"/>
    <w:tmpl w:val="DA34A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CD53A9A"/>
    <w:multiLevelType w:val="hybridMultilevel"/>
    <w:tmpl w:val="E72AE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E0A26F8"/>
    <w:multiLevelType w:val="hybridMultilevel"/>
    <w:tmpl w:val="057499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5521517">
    <w:abstractNumId w:val="1"/>
  </w:num>
  <w:num w:numId="2" w16cid:durableId="1826235354">
    <w:abstractNumId w:val="2"/>
  </w:num>
  <w:num w:numId="3" w16cid:durableId="351227630">
    <w:abstractNumId w:val="3"/>
  </w:num>
  <w:num w:numId="4" w16cid:durableId="178568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65"/>
    <w:rsid w:val="000C7B6F"/>
    <w:rsid w:val="00130DA2"/>
    <w:rsid w:val="0019120F"/>
    <w:rsid w:val="001C6395"/>
    <w:rsid w:val="001E4473"/>
    <w:rsid w:val="00254998"/>
    <w:rsid w:val="00296E11"/>
    <w:rsid w:val="002D1611"/>
    <w:rsid w:val="002D254A"/>
    <w:rsid w:val="003207D9"/>
    <w:rsid w:val="003711AD"/>
    <w:rsid w:val="003B0F36"/>
    <w:rsid w:val="003B7678"/>
    <w:rsid w:val="004132B7"/>
    <w:rsid w:val="004F4785"/>
    <w:rsid w:val="005201C3"/>
    <w:rsid w:val="005A4399"/>
    <w:rsid w:val="005F62BC"/>
    <w:rsid w:val="006104E1"/>
    <w:rsid w:val="006339F9"/>
    <w:rsid w:val="00735F9B"/>
    <w:rsid w:val="00776DD8"/>
    <w:rsid w:val="0081691A"/>
    <w:rsid w:val="00821871"/>
    <w:rsid w:val="008E3EDC"/>
    <w:rsid w:val="008E4389"/>
    <w:rsid w:val="00960B92"/>
    <w:rsid w:val="009871D9"/>
    <w:rsid w:val="00B140E2"/>
    <w:rsid w:val="00BB1065"/>
    <w:rsid w:val="00BC388B"/>
    <w:rsid w:val="00BE25F2"/>
    <w:rsid w:val="00C838E4"/>
    <w:rsid w:val="00CC4C59"/>
    <w:rsid w:val="00CC7202"/>
    <w:rsid w:val="00D86035"/>
    <w:rsid w:val="00E0537D"/>
    <w:rsid w:val="00E53B8E"/>
    <w:rsid w:val="00EE03B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9D55"/>
  <w15:docId w15:val="{BDA78FC5-4506-4D4C-8C15-828F7A76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65"/>
    <w:rPr>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B1065"/>
    <w:pPr>
      <w:spacing w:after="0" w:line="240" w:lineRule="auto"/>
    </w:pPr>
    <w:rPr>
      <w:sz w:val="20"/>
      <w:szCs w:val="20"/>
    </w:rPr>
  </w:style>
  <w:style w:type="character" w:customStyle="1" w:styleId="FootnoteTextChar">
    <w:name w:val="Footnote Text Char"/>
    <w:basedOn w:val="DefaultParagraphFont"/>
    <w:link w:val="FootnoteText"/>
    <w:uiPriority w:val="99"/>
    <w:rsid w:val="00BB1065"/>
    <w:rPr>
      <w:sz w:val="20"/>
      <w:szCs w:val="20"/>
      <w:lang w:val="en-US" w:bidi="he-IL"/>
    </w:rPr>
  </w:style>
  <w:style w:type="character" w:styleId="FootnoteReference">
    <w:name w:val="footnote reference"/>
    <w:basedOn w:val="DefaultParagraphFont"/>
    <w:uiPriority w:val="99"/>
    <w:semiHidden/>
    <w:unhideWhenUsed/>
    <w:rsid w:val="00BB1065"/>
    <w:rPr>
      <w:vertAlign w:val="superscript"/>
    </w:rPr>
  </w:style>
  <w:style w:type="paragraph" w:styleId="ListParagraph">
    <w:name w:val="List Paragraph"/>
    <w:basedOn w:val="Normal"/>
    <w:uiPriority w:val="34"/>
    <w:qFormat/>
    <w:rsid w:val="00520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4</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Rooz</dc:creator>
  <cp:keywords/>
  <dc:description/>
  <cp:lastModifiedBy>Ruth Rooz</cp:lastModifiedBy>
  <cp:revision>20</cp:revision>
  <dcterms:created xsi:type="dcterms:W3CDTF">2023-02-08T22:13:00Z</dcterms:created>
  <dcterms:modified xsi:type="dcterms:W3CDTF">2023-03-02T13:53:00Z</dcterms:modified>
</cp:coreProperties>
</file>