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5876" w:type="dxa"/>
        <w:jc w:val="center"/>
        <w:tblInd w:w="0" w:type="dxa"/>
        <w:tblLayout w:type="fixed"/>
        <w:tblCellMar>
          <w:top w:w="0" w:type="dxa"/>
          <w:left w:w="99" w:type="dxa"/>
          <w:bottom w:w="0" w:type="dxa"/>
          <w:right w:w="99" w:type="dxa"/>
        </w:tblCellMar>
        <w:tblLook w:val="0000" w:noHBand="0" w:noVBand="0" w:firstColumn="0" w:lastRow="0" w:lastColumn="0" w:firstRow="0"/>
      </w:tblPr>
      <w:tblGrid>
        <w:gridCol w:w="606"/>
        <w:gridCol w:w="908"/>
        <w:gridCol w:w="1208"/>
        <w:gridCol w:w="1210"/>
        <w:gridCol w:w="1114"/>
        <w:gridCol w:w="4177"/>
        <w:gridCol w:w="4233"/>
        <w:gridCol w:w="2418"/>
      </w:tblGrid>
      <w:tr>
        <w:trPr/>
        <w:tc>
          <w:tcPr>
            <w:tcW w:w="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MB"/>
              <w:widowControl w:val="false"/>
              <w:spacing w:lineRule="auto" w:line="240" w:before="60" w:after="60"/>
              <w:rPr/>
            </w:pPr>
            <w:r>
              <w:rPr/>
              <w:t>US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lause"/>
              <w:widowControl w:val="false"/>
              <w:spacing w:lineRule="auto" w:line="240" w:before="60" w:after="60"/>
              <w:rPr/>
            </w:pPr>
            <w:r>
              <w:rPr/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lause"/>
              <w:widowControl w:val="false"/>
              <w:spacing w:lineRule="auto" w:line="240" w:before="60" w:after="60"/>
              <w:rPr/>
            </w:pPr>
            <w:r>
              <w:rPr/>
              <w:t>6.4.6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Paragraph"/>
              <w:widowControl w:val="false"/>
              <w:spacing w:lineRule="auto" w:line="240" w:before="60" w:after="60"/>
              <w:rPr/>
            </w:pPr>
            <w:r>
              <w:rPr/>
              <w:t>Paragraph 3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ommType"/>
              <w:widowControl w:val="false"/>
              <w:spacing w:lineRule="auto" w:line="240" w:before="60" w:after="60"/>
              <w:rPr/>
            </w:pPr>
            <w:r>
              <w:rPr/>
              <w:t>te</w:t>
            </w:r>
          </w:p>
        </w:tc>
        <w:tc>
          <w:tcPr>
            <w:tcW w:w="4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omments"/>
              <w:widowControl w:val="false"/>
              <w:spacing w:lineRule="auto" w:line="240" w:before="60" w:after="60"/>
              <w:rPr/>
            </w:pPr>
            <w:r>
              <w:rPr/>
              <w:t>Continue to make the former trigraph for # available, but with “digraph” semantics.</w:t>
            </w:r>
          </w:p>
          <w:p>
            <w:pPr>
              <w:pStyle w:val="ISOComments"/>
              <w:widowControl w:val="false"/>
              <w:spacing w:lineRule="auto" w:line="240" w:before="60" w:after="60"/>
              <w:rPr/>
            </w:pPr>
            <w:r>
              <w:rPr/>
              <w:t>This is necessary to allow basic minimal C23 portability of older projects which use a #pragma line to switch the compiler into ASCII mode.</w:t>
            </w:r>
          </w:p>
        </w:tc>
        <w:tc>
          <w:tcPr>
            <w:tcW w:w="4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hange"/>
              <w:widowControl w:val="false"/>
              <w:spacing w:lineRule="auto" w:line="240" w:before="60" w:after="60"/>
              <w:rPr/>
            </w:pPr>
            <w:r>
              <w:rPr/>
              <w:t>Change both occurrences of “the six tokens” to “the seven tokens”; add to the end of the first list of punctuators, “??=” (unquoted, three characters); add to the end of the second list of punctuators “#” (unquoted, one character)</w:t>
            </w:r>
          </w:p>
        </w:tc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SecretObservations"/>
              <w:widowControl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MB"/>
              <w:widowControl w:val="false"/>
              <w:spacing w:lineRule="auto" w:line="240" w:before="60" w:after="60"/>
              <w:rPr/>
            </w:pPr>
            <w:r>
              <w:rPr/>
              <w:t>US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lause"/>
              <w:widowControl w:val="false"/>
              <w:spacing w:lineRule="auto" w:line="240" w:before="60" w:after="60"/>
              <w:rPr/>
            </w:pPr>
            <w:r>
              <w:rPr/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lause"/>
              <w:widowControl w:val="false"/>
              <w:spacing w:lineRule="auto" w:line="240" w:before="60" w:after="60"/>
              <w:rPr/>
            </w:pPr>
            <w:r>
              <w:rPr/>
              <w:t>6.4.6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Paragraph"/>
              <w:widowControl w:val="false"/>
              <w:spacing w:lineRule="auto" w:line="240" w:before="60" w:after="60"/>
              <w:rPr/>
            </w:pPr>
            <w:r>
              <w:rPr/>
              <w:t>Paragraph 3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ommType"/>
              <w:widowControl w:val="false"/>
              <w:spacing w:lineRule="auto" w:line="240" w:before="60" w:after="60"/>
              <w:rPr/>
            </w:pPr>
            <w:r>
              <w:rPr/>
              <w:t>te</w:t>
            </w:r>
          </w:p>
        </w:tc>
        <w:tc>
          <w:tcPr>
            <w:tcW w:w="4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omments"/>
              <w:widowControl w:val="false"/>
              <w:spacing w:lineRule="auto" w:line="240" w:before="60" w:after="60"/>
              <w:rPr/>
            </w:pPr>
            <w:r>
              <w:rPr/>
              <w:t>Continue to make the former trigraphs for [ and ] available, but with “digraph” semantics.</w:t>
            </w:r>
          </w:p>
          <w:p>
            <w:pPr>
              <w:pStyle w:val="ISOComments"/>
              <w:widowControl w:val="false"/>
              <w:spacing w:lineRule="auto" w:line="240" w:before="60" w:after="60"/>
              <w:rPr/>
            </w:pPr>
            <w:r>
              <w:rPr/>
              <w:t>These are the most commonly-used trigraphs in existing user code.</w:t>
            </w:r>
          </w:p>
        </w:tc>
        <w:tc>
          <w:tcPr>
            <w:tcW w:w="4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hange"/>
              <w:widowControl w:val="false"/>
              <w:spacing w:lineRule="auto" w:line="240" w:before="60" w:after="60"/>
              <w:rPr/>
            </w:pPr>
            <w:r>
              <w:rPr/>
              <w:t>Assuming comment 1 is included;</w:t>
            </w:r>
          </w:p>
          <w:p>
            <w:pPr>
              <w:pStyle w:val="ISOChange"/>
              <w:widowControl w:val="false"/>
              <w:spacing w:lineRule="auto" w:line="240" w:before="60" w:after="60"/>
              <w:rPr/>
            </w:pPr>
            <w:r>
              <w:rPr/>
              <w:t>Change both occurrences of “the seven tokens” to “the nine tokens”; add to the end of the first list of punctuators, “??(” and “??)” (unquoted, three characters); add to the end of the second list of punctuators “[” and “]” (unquoted, one character)</w:t>
            </w:r>
          </w:p>
        </w:tc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SecretObservations"/>
              <w:widowControl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MB"/>
              <w:widowControl w:val="false"/>
              <w:spacing w:lineRule="auto" w:line="240" w:before="60" w:after="60"/>
              <w:rPr/>
            </w:pPr>
            <w:r>
              <w:rPr/>
              <w:t>US</w:t>
            </w:r>
          </w:p>
        </w:tc>
        <w:tc>
          <w:tcPr>
            <w:tcW w:w="9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lause"/>
              <w:widowControl w:val="false"/>
              <w:spacing w:lineRule="auto" w:line="240" w:before="60" w:after="60"/>
              <w:rPr/>
            </w:pPr>
            <w:r>
              <w:rPr/>
            </w:r>
          </w:p>
        </w:tc>
        <w:tc>
          <w:tcPr>
            <w:tcW w:w="12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lause"/>
              <w:widowControl w:val="false"/>
              <w:spacing w:lineRule="auto" w:line="240" w:before="60" w:after="60"/>
              <w:rPr/>
            </w:pPr>
            <w:r>
              <w:rPr/>
              <w:t>6.4.6</w:t>
            </w:r>
          </w:p>
        </w:tc>
        <w:tc>
          <w:tcPr>
            <w:tcW w:w="12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Paragraph"/>
              <w:widowControl w:val="false"/>
              <w:spacing w:lineRule="auto" w:line="240" w:before="60" w:after="60"/>
              <w:rPr/>
            </w:pPr>
            <w:r>
              <w:rPr/>
              <w:t>Paragraph 3</w:t>
            </w:r>
          </w:p>
        </w:tc>
        <w:tc>
          <w:tcPr>
            <w:tcW w:w="11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ommType"/>
              <w:widowControl w:val="false"/>
              <w:spacing w:lineRule="auto" w:line="240" w:before="60" w:after="60"/>
              <w:rPr/>
            </w:pPr>
            <w:r>
              <w:rPr/>
              <w:t>te</w:t>
            </w:r>
          </w:p>
        </w:tc>
        <w:tc>
          <w:tcPr>
            <w:tcW w:w="41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omments"/>
              <w:widowControl w:val="false"/>
              <w:spacing w:lineRule="auto" w:line="240" w:before="60" w:after="60"/>
              <w:rPr/>
            </w:pPr>
            <w:r>
              <w:rPr/>
              <w:t>Continue to make the remaining former trigraphs available with digraph semantics.</w:t>
            </w:r>
          </w:p>
          <w:p>
            <w:pPr>
              <w:pStyle w:val="ISOComments"/>
              <w:widowControl w:val="false"/>
              <w:spacing w:lineRule="auto" w:line="240" w:before="60" w:after="60"/>
              <w:rPr/>
            </w:pPr>
            <w:r>
              <w:rPr/>
              <w:t>This minimizes the impact on existing user code.</w:t>
            </w:r>
          </w:p>
          <w:p>
            <w:pPr>
              <w:pStyle w:val="ISOComments"/>
              <w:widowControl w:val="false"/>
              <w:spacing w:lineRule="auto" w:line="240" w:before="60" w:after="60"/>
              <w:rPr/>
            </w:pPr>
            <w:r>
              <w:rPr/>
              <w:t xml:space="preserve">No real-world user code is known to depend on the trigraph-specific semantics; all </w:t>
            </w:r>
            <w:r>
              <w:rPr>
                <w:sz w:val="18"/>
                <w:lang w:val="en-GB"/>
              </w:rPr>
              <w:t>reported</w:t>
            </w:r>
            <w:r>
              <w:rPr/>
              <w:t xml:space="preserve"> uses are as punctuators.</w:t>
            </w:r>
          </w:p>
        </w:tc>
        <w:tc>
          <w:tcPr>
            <w:tcW w:w="42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hange"/>
              <w:widowControl w:val="false"/>
              <w:spacing w:lineRule="auto" w:line="240" w:before="60" w:after="60"/>
              <w:rPr/>
            </w:pPr>
            <w:r>
              <w:rPr/>
              <w:t>Assuming comments 1 and 2 are included:</w:t>
            </w:r>
          </w:p>
          <w:p>
            <w:pPr>
              <w:pStyle w:val="ISOChange"/>
              <w:widowControl w:val="false"/>
              <w:spacing w:lineRule="auto" w:line="240" w:before="60" w:after="60"/>
              <w:rPr/>
            </w:pPr>
            <w:r>
              <w:rPr/>
              <w:t>Revert paragraph 3 back to its original form, then add four new lines before “except for their spelling” (this is clearer than a single long list):</w:t>
            </w:r>
          </w:p>
          <w:p>
            <w:pPr>
              <w:pStyle w:val="ISOChange"/>
              <w:widowControl w:val="false"/>
              <w:spacing w:lineRule="auto" w:line="240" w:before="60" w:after="60"/>
              <w:rPr/>
            </w:pPr>
            <w:r>
              <w:rPr/>
              <w:t>and the nine tokens</w:t>
            </w:r>
          </w:p>
          <w:p>
            <w:pPr>
              <w:pStyle w:val="ISOChange"/>
              <w:widowControl w:val="false"/>
              <w:spacing w:lineRule="auto" w:line="240" w:before="60" w:after="60"/>
              <w:rPr/>
            </w:pPr>
            <w:r>
              <w:rPr/>
              <w:t xml:space="preserve">  </w:t>
            </w:r>
            <w:r>
              <w:rPr/>
              <w:t>??= ??/ ??’ ??( ??) ??! ??&lt; ??&gt; ??-</w:t>
            </w:r>
          </w:p>
          <w:p>
            <w:pPr>
              <w:pStyle w:val="ISOChange"/>
              <w:widowControl w:val="false"/>
              <w:spacing w:lineRule="auto" w:line="240" w:before="60" w:after="60"/>
              <w:rPr/>
            </w:pPr>
            <w:r>
              <w:rPr/>
              <w:t xml:space="preserve">behave, respectively, the same as the </w:t>
            </w:r>
            <w:r>
              <w:rPr>
                <w:sz w:val="18"/>
                <w:lang w:val="en-GB"/>
              </w:rPr>
              <w:t>nine</w:t>
            </w:r>
            <w:r>
              <w:rPr/>
              <w:t xml:space="preserve"> tokens</w:t>
            </w:r>
          </w:p>
          <w:p>
            <w:pPr>
              <w:pStyle w:val="ISOChange"/>
              <w:widowControl w:val="false"/>
              <w:spacing w:lineRule="auto" w:line="240" w:before="60" w:after="60"/>
              <w:rPr/>
            </w:pPr>
            <w:r>
              <w:rPr/>
              <w:t xml:space="preserve">  </w:t>
            </w:r>
            <w:r>
              <w:rPr/>
              <w:t xml:space="preserve">#  </w:t>
            </w:r>
            <w:r>
              <w:rPr>
                <w:sz w:val="18"/>
                <w:lang w:val="en-GB"/>
              </w:rPr>
              <w:t>\</w:t>
            </w:r>
            <w:r>
              <w:rPr/>
              <w:t xml:space="preserve">  ^  [  ]  |  {  }  ~</w:t>
            </w:r>
          </w:p>
        </w:tc>
        <w:tc>
          <w:tcPr>
            <w:tcW w:w="24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SecretObservations"/>
              <w:widowControl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MB"/>
              <w:widowControl w:val="false"/>
              <w:spacing w:lineRule="auto" w:line="240" w:before="60" w:after="60"/>
              <w:rPr/>
            </w:pPr>
            <w:r>
              <w:rPr/>
              <w:t>US</w:t>
            </w:r>
          </w:p>
        </w:tc>
        <w:tc>
          <w:tcPr>
            <w:tcW w:w="9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lause"/>
              <w:widowControl w:val="false"/>
              <w:spacing w:lineRule="auto" w:line="240" w:before="60" w:after="60"/>
              <w:rPr/>
            </w:pPr>
            <w:r>
              <w:rPr/>
            </w:r>
          </w:p>
        </w:tc>
        <w:tc>
          <w:tcPr>
            <w:tcW w:w="12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lause"/>
              <w:widowControl w:val="false"/>
              <w:spacing w:lineRule="auto" w:line="240" w:before="60" w:after="60"/>
              <w:rPr/>
            </w:pPr>
            <w:r>
              <w:rPr/>
              <w:t>6.4.6</w:t>
            </w:r>
          </w:p>
        </w:tc>
        <w:tc>
          <w:tcPr>
            <w:tcW w:w="12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Paragraph"/>
              <w:widowControl w:val="false"/>
              <w:spacing w:lineRule="auto" w:line="240" w:before="60" w:after="60"/>
              <w:rPr/>
            </w:pPr>
            <w:r>
              <w:rPr/>
              <w:t>Footnote 89</w:t>
            </w:r>
          </w:p>
        </w:tc>
        <w:tc>
          <w:tcPr>
            <w:tcW w:w="11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ommType"/>
              <w:widowControl w:val="false"/>
              <w:spacing w:lineRule="auto" w:line="240" w:before="60" w:after="60"/>
              <w:rPr/>
            </w:pPr>
            <w:r>
              <w:rPr/>
              <w:t>ed</w:t>
            </w:r>
          </w:p>
        </w:tc>
        <w:tc>
          <w:tcPr>
            <w:tcW w:w="41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omments"/>
              <w:widowControl w:val="false"/>
              <w:spacing w:lineRule="auto" w:line="240" w:before="60" w:after="60"/>
              <w:rPr/>
            </w:pPr>
            <w:r>
              <w:rPr/>
              <w:t>Change the text to refer to both digraphs and trigraphs.</w:t>
            </w:r>
          </w:p>
          <w:p>
            <w:pPr>
              <w:pStyle w:val="ISOComments"/>
              <w:widowControl w:val="false"/>
              <w:spacing w:lineRule="auto" w:line="240" w:before="60" w:after="60"/>
              <w:rPr/>
            </w:pPr>
            <w:r>
              <w:rPr/>
              <w:t>This is not necessary and might be clearer, or might not depending on the association with the old semantics.</w:t>
            </w:r>
          </w:p>
        </w:tc>
        <w:tc>
          <w:tcPr>
            <w:tcW w:w="42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Change"/>
              <w:widowControl w:val="false"/>
              <w:spacing w:lineRule="auto" w:line="240" w:before="60" w:after="60"/>
              <w:rPr/>
            </w:pPr>
            <w:r>
              <w:rPr/>
              <w:t>Add the words ‘and “trigraphs”’ to the end of the footnote sentence.</w:t>
            </w:r>
          </w:p>
        </w:tc>
        <w:tc>
          <w:tcPr>
            <w:tcW w:w="24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ISOSecretObservations"/>
              <w:widowControl w:val="false"/>
              <w:spacing w:lineRule="auto" w:line="240" w:before="60" w:after="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orient="landscape" w:w="16838" w:h="11906"/>
      <w:pgMar w:left="851" w:right="851" w:header="567" w:top="851" w:footer="567" w:bottom="851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clear" w:pos="4820"/>
        <w:tab w:val="clear" w:pos="9639"/>
        <w:tab w:val="left" w:pos="284" w:leader="none"/>
        <w:tab w:val="left" w:pos="3969" w:leader="none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/ </w:t>
    </w:r>
    <w:r>
      <w:rPr>
        <w:rStyle w:val="Pagenumber"/>
        <w:b/>
        <w:bCs/>
        <w:sz w:val="16"/>
      </w:rPr>
      <w:t>NC</w:t>
    </w:r>
    <w:r>
      <w:rPr>
        <w:rStyle w:val="Pagenumber"/>
        <w:bCs/>
        <w:sz w:val="16"/>
      </w:rPr>
      <w:t xml:space="preserve"> = National Committee (enter the ISO 3166 two-letter country code, e.g. CN for China; comments from the ISO/CS editing unit are identified by </w:t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>)</w:t>
    </w:r>
  </w:p>
  <w:p>
    <w:pPr>
      <w:pStyle w:val="Footer"/>
      <w:tabs>
        <w:tab w:val="clear" w:pos="4820"/>
        <w:tab w:val="clear" w:pos="9639"/>
        <w:tab w:val="left" w:pos="284" w:leader="none"/>
        <w:tab w:val="left" w:pos="1843" w:leader="none"/>
        <w:tab w:val="left" w:pos="2268" w:leader="none"/>
        <w:tab w:val="left" w:pos="3119" w:leader="none"/>
        <w:tab w:val="left" w:pos="4395" w:leader="none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 </w:t>
    </w:r>
  </w:p>
  <w:p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>
    <w:pPr>
      <w:pStyle w:val="Footer"/>
      <w:jc w:val="left"/>
      <w:rPr>
        <w:rStyle w:val="Pagenumber"/>
        <w:i/>
        <w:i/>
        <w:iCs/>
        <w:sz w:val="16"/>
      </w:rPr>
    </w:pPr>
    <w:r>
      <w:rPr>
        <w:rStyle w:val="Pagenumber"/>
        <w:i/>
        <w:iCs/>
        <w:sz w:val="16"/>
      </w:rPr>
      <w:t>ISO/IEC/CEN/CENELEC  electronic balloting commenting template/version 2012-03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5876" w:type="dxa"/>
      <w:jc w:val="center"/>
      <w:tblInd w:w="0" w:type="dxa"/>
      <w:tblLayout w:type="fixed"/>
      <w:tblCellMar>
        <w:top w:w="0" w:type="dxa"/>
        <w:left w:w="99" w:type="dxa"/>
        <w:bottom w:w="0" w:type="dxa"/>
        <w:right w:w="99" w:type="dxa"/>
      </w:tblCellMar>
      <w:tblLook w:val="0000" w:noHBand="0" w:noVBand="0" w:firstColumn="0" w:lastRow="0" w:lastColumn="0" w:firstRow="0"/>
    </w:tblPr>
    <w:tblGrid>
      <w:gridCol w:w="7739"/>
      <w:gridCol w:w="2410"/>
      <w:gridCol w:w="3120"/>
      <w:gridCol w:w="2606"/>
    </w:tblGrid>
    <w:tr>
      <w:trPr>
        <w:cantSplit w:val="true"/>
      </w:trPr>
      <w:tc>
        <w:tcPr>
          <w:tcW w:w="7739" w:type="dxa"/>
          <w:tcBorders/>
        </w:tcPr>
        <w:p>
          <w:pPr>
            <w:pStyle w:val="ISOComments"/>
            <w:widowControl w:val="false"/>
            <w:spacing w:before="60" w:after="60"/>
            <w:rPr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41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ISOChange"/>
            <w:widowControl w:val="false"/>
            <w:spacing w:before="60" w:after="60"/>
            <w:rPr>
              <w:bCs/>
            </w:rPr>
          </w:pPr>
          <w:r>
            <w:rPr>
              <w:bCs/>
            </w:rPr>
            <w:t xml:space="preserve">Date: </w:t>
          </w:r>
          <w:r>
            <w:rPr>
              <w:bCs/>
            </w:rPr>
            <w:t>28-Oct-2022</w:t>
          </w:r>
        </w:p>
      </w:tc>
      <w:tc>
        <w:tcPr>
          <w:tcW w:w="31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ISOSecretObservations"/>
            <w:widowControl w:val="false"/>
            <w:spacing w:before="60" w:after="60"/>
            <w:rPr>
              <w:bCs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bCs/>
              <w:sz w:val="20"/>
            </w:rPr>
            <w:t xml:space="preserve"> </w:t>
          </w:r>
          <w:r>
            <w:rPr>
              <w:b/>
              <w:bCs/>
              <w:sz w:val="20"/>
            </w:rPr>
            <w:t>ISO/IEC CD 9899:2023</w:t>
          </w:r>
        </w:p>
      </w:tc>
      <w:tc>
        <w:tcPr>
          <w:tcW w:w="260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ISOSecretObservations"/>
            <w:widowControl w:val="false"/>
            <w:spacing w:before="60" w:after="60"/>
            <w:rPr>
              <w:bCs/>
              <w:sz w:val="20"/>
            </w:rPr>
          </w:pPr>
          <w:r>
            <w:rPr>
              <w:bCs/>
              <w:sz w:val="20"/>
            </w:rPr>
            <w:t xml:space="preserve">Project: </w:t>
          </w:r>
          <w:r>
            <w:rPr>
              <w:bCs/>
              <w:sz w:val="20"/>
            </w:rPr>
            <w:t>SC22.C</w:t>
          </w:r>
        </w:p>
      </w:tc>
    </w:tr>
  </w:tbl>
  <w:p>
    <w:pPr>
      <w:pStyle w:val="Header"/>
      <w:rPr/>
    </w:pPr>
    <w:r>
      <w:rPr/>
    </w:r>
  </w:p>
  <w:tbl>
    <w:tblPr>
      <w:tblW w:w="15876" w:type="dxa"/>
      <w:jc w:val="center"/>
      <w:tblInd w:w="0" w:type="dxa"/>
      <w:tblLayout w:type="fixed"/>
      <w:tblCellMar>
        <w:top w:w="0" w:type="dxa"/>
        <w:left w:w="99" w:type="dxa"/>
        <w:bottom w:w="0" w:type="dxa"/>
        <w:right w:w="99" w:type="dxa"/>
      </w:tblCellMar>
      <w:tblLook w:val="0000" w:noHBand="0" w:noVBand="0" w:firstColumn="0" w:lastRow="0" w:lastColumn="0" w:firstRow="0"/>
    </w:tblPr>
    <w:tblGrid>
      <w:gridCol w:w="606"/>
      <w:gridCol w:w="908"/>
      <w:gridCol w:w="1208"/>
      <w:gridCol w:w="1210"/>
      <w:gridCol w:w="1114"/>
      <w:gridCol w:w="4177"/>
      <w:gridCol w:w="4233"/>
      <w:gridCol w:w="2418"/>
    </w:tblGrid>
    <w:tr>
      <w:trPr>
        <w:cantSplit w:val="true"/>
      </w:trPr>
      <w:tc>
        <w:tcPr>
          <w:tcW w:w="60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keepLines/>
            <w:widowControl w:val="false"/>
            <w:spacing w:lineRule="exact" w:line="190" w:before="100" w:after="60"/>
            <w:jc w:val="center"/>
            <w:rPr>
              <w:b/>
              <w:b/>
              <w:sz w:val="16"/>
            </w:rPr>
          </w:pPr>
          <w:r>
            <w:rPr>
              <w:b/>
              <w:sz w:val="16"/>
            </w:rPr>
            <w:t>MB/NC</w:t>
          </w:r>
          <w:r>
            <w:rPr>
              <w:b/>
              <w:bCs/>
              <w:position w:val="6"/>
              <w:sz w:val="12"/>
            </w:rPr>
            <w:t>1</w:t>
          </w:r>
        </w:p>
      </w:tc>
      <w:tc>
        <w:tcPr>
          <w:tcW w:w="90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keepLines/>
            <w:widowControl w:val="false"/>
            <w:spacing w:lineRule="exact" w:line="190" w:before="100" w:after="60"/>
            <w:jc w:val="center"/>
            <w:rPr>
              <w:b/>
              <w:b/>
              <w:sz w:val="16"/>
            </w:rPr>
          </w:pPr>
          <w:r>
            <w:rPr>
              <w:b/>
              <w:sz w:val="16"/>
            </w:rPr>
            <w:t>Line number</w:t>
          </w:r>
        </w:p>
        <w:p>
          <w:pPr>
            <w:pStyle w:val="Normal"/>
            <w:keepLines/>
            <w:widowControl w:val="false"/>
            <w:spacing w:lineRule="exact" w:line="190" w:before="0" w:after="60"/>
            <w:jc w:val="center"/>
            <w:rPr>
              <w:b/>
              <w:b/>
              <w:sz w:val="16"/>
            </w:rPr>
          </w:pPr>
          <w:r>
            <w:rPr>
              <w:bCs/>
              <w:sz w:val="16"/>
            </w:rPr>
            <w:t>(e.g. 17)</w:t>
          </w:r>
        </w:p>
      </w:tc>
      <w:tc>
        <w:tcPr>
          <w:tcW w:w="120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keepLines/>
            <w:widowControl w:val="false"/>
            <w:spacing w:lineRule="exact" w:line="190" w:before="100" w:after="60"/>
            <w:jc w:val="center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Clause/ Subclause</w:t>
          </w:r>
        </w:p>
        <w:p>
          <w:pPr>
            <w:pStyle w:val="Normal"/>
            <w:keepLines/>
            <w:widowControl w:val="false"/>
            <w:spacing w:lineRule="exact" w:line="190" w:before="0" w:after="60"/>
            <w:jc w:val="center"/>
            <w:rPr>
              <w:b/>
              <w:b/>
              <w:sz w:val="16"/>
              <w:szCs w:val="16"/>
            </w:rPr>
          </w:pPr>
          <w:r>
            <w:rPr>
              <w:bCs/>
              <w:sz w:val="16"/>
            </w:rPr>
            <w:t>(e.g. 3.1)</w:t>
          </w:r>
        </w:p>
      </w:tc>
      <w:tc>
        <w:tcPr>
          <w:tcW w:w="121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keepLines/>
            <w:widowControl w:val="false"/>
            <w:spacing w:lineRule="exact" w:line="190" w:before="100" w:after="0"/>
            <w:jc w:val="center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Paragraph/ Figure/ Table/</w:t>
          </w:r>
        </w:p>
        <w:p>
          <w:pPr>
            <w:pStyle w:val="Normal"/>
            <w:keepLines/>
            <w:widowControl w:val="false"/>
            <w:spacing w:lineRule="exact" w:line="190" w:before="0" w:after="60"/>
            <w:jc w:val="center"/>
            <w:rPr>
              <w:b/>
              <w:b/>
              <w:sz w:val="16"/>
              <w:szCs w:val="16"/>
            </w:rPr>
          </w:pPr>
          <w:r>
            <w:rPr>
              <w:bCs/>
              <w:sz w:val="16"/>
            </w:rPr>
            <w:t>(e.g. Table 1)</w:t>
          </w:r>
        </w:p>
      </w:tc>
      <w:tc>
        <w:tcPr>
          <w:tcW w:w="111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keepLines/>
            <w:widowControl w:val="false"/>
            <w:spacing w:lineRule="exact" w:line="190" w:before="100" w:after="60"/>
            <w:jc w:val="center"/>
            <w:rPr>
              <w:b/>
              <w:b/>
              <w:sz w:val="16"/>
            </w:rPr>
          </w:pPr>
          <w:r>
            <w:rPr>
              <w:b/>
              <w:sz w:val="16"/>
            </w:rPr>
            <w:t>Type of comment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17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keepLines/>
            <w:widowControl w:val="false"/>
            <w:spacing w:lineRule="exact" w:line="190" w:before="100" w:after="60"/>
            <w:jc w:val="center"/>
            <w:rPr>
              <w:b/>
              <w:b/>
              <w:sz w:val="16"/>
            </w:rPr>
          </w:pPr>
          <w:r>
            <w:rPr>
              <w:b/>
              <w:sz w:val="16"/>
            </w:rPr>
            <w:t>Comments</w:t>
          </w:r>
        </w:p>
      </w:tc>
      <w:tc>
        <w:tcPr>
          <w:tcW w:w="423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keepLines/>
            <w:widowControl w:val="false"/>
            <w:spacing w:lineRule="exact" w:line="190" w:before="100" w:after="60"/>
            <w:jc w:val="center"/>
            <w:rPr>
              <w:b/>
              <w:b/>
              <w:sz w:val="16"/>
            </w:rPr>
          </w:pPr>
          <w:r>
            <w:rPr>
              <w:b/>
              <w:sz w:val="16"/>
            </w:rPr>
            <w:t>Proposed change</w:t>
          </w:r>
        </w:p>
      </w:tc>
      <w:tc>
        <w:tcPr>
          <w:tcW w:w="241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keepLines/>
            <w:widowControl w:val="false"/>
            <w:spacing w:lineRule="exact" w:line="190" w:before="100" w:after="60"/>
            <w:jc w:val="center"/>
            <w:rPr>
              <w:b/>
              <w:b/>
              <w:sz w:val="16"/>
            </w:rPr>
          </w:pPr>
          <w:r>
            <w:rPr>
              <w:b/>
              <w:sz w:val="16"/>
            </w:rPr>
            <w:t>Observations of the secretariat</w:t>
          </w:r>
        </w:p>
      </w:tc>
    </w:tr>
  </w:tbl>
  <w:p>
    <w:pPr>
      <w:pStyle w:val="Header"/>
      <w:rPr>
        <w:sz w:val="2"/>
      </w:rPr>
    </w:pPr>
    <w:r>
      <w:rPr>
        <w:sz w:val="2"/>
      </w:rPr>
    </w:r>
  </w:p>
  <w:p>
    <w:pPr>
      <w:pStyle w:val="Header"/>
      <w:spacing w:lineRule="exact" w:line="14"/>
      <w:rPr>
        <w:sz w:val="4"/>
      </w:rPr>
    </w:pPr>
    <w:r>
      <w:rPr>
        <w:sz w:val="4"/>
      </w:rPr>
    </w:r>
  </w:p>
</w:hdr>
</file>

<file path=word/settings.xml><?xml version="1.0" encoding="utf-8"?>
<w:settings xmlns:w="http://schemas.openxmlformats.org/wordprocessingml/2006/main">
  <w:zoom w:percent="95"/>
  <w:defaultTabStop w:val="851"/>
  <w:autoHyphenation w:val="true"/>
  <w:doNotHyphenateCaps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kern w:val="0"/>
      <w:sz w:val="22"/>
      <w:szCs w:val="20"/>
      <w:lang w:val="en-GB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 w:after="20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false"/>
    </w:rPr>
  </w:style>
  <w:style w:type="paragraph" w:styleId="Heading4">
    <w:name w:val="Heading 4"/>
    <w:basedOn w:val="Heading3"/>
    <w:next w:val="Normal"/>
    <w:qFormat/>
    <w:pPr>
      <w:outlineLvl w:val="3"/>
    </w:pPr>
    <w:rPr/>
  </w:style>
  <w:style w:type="character" w:styleId="DefaultParagraphFont" w:default="1">
    <w:name w:val="Default Paragraph Font"/>
    <w:semiHidden/>
    <w:qFormat/>
    <w:rPr/>
  </w:style>
  <w:style w:type="character" w:styleId="Pagenumber">
    <w:name w:val="page number"/>
    <w:semiHidden/>
    <w:qFormat/>
    <w:rPr>
      <w:sz w:val="20"/>
    </w:rPr>
  </w:style>
  <w:style w:type="character" w:styleId="MTEquationSection" w:customStyle="1">
    <w:name w:val="MTEquationSection"/>
    <w:qFormat/>
    <w:rPr>
      <w:vanish w:val="false"/>
      <w:color w:val="FF0000"/>
      <w:sz w:val="16"/>
    </w:rPr>
  </w:style>
  <w:style w:type="character" w:styleId="FootnoteCharacters">
    <w:name w:val="Footnote Characters"/>
    <w:semiHidden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Mtequationsection1" w:customStyle="1">
    <w:name w:val="mtequationsection"/>
    <w:basedOn w:val="DefaultParagraph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Footer"/>
    <w:semiHidden/>
    <w:pPr/>
    <w:rPr/>
  </w:style>
  <w:style w:type="paragraph" w:styleId="Footer">
    <w:name w:val="Footer"/>
    <w:basedOn w:val="Normal"/>
    <w:semiHidden/>
    <w:pPr>
      <w:tabs>
        <w:tab w:val="clear" w:pos="851"/>
        <w:tab w:val="center" w:pos="4820" w:leader="none"/>
        <w:tab w:val="right" w:pos="9639" w:leader="none"/>
      </w:tabs>
    </w:pPr>
    <w:rPr/>
  </w:style>
  <w:style w:type="paragraph" w:styleId="ISOMB" w:customStyle="1">
    <w:name w:val="ISO_MB"/>
    <w:basedOn w:val="Normal"/>
    <w:qFormat/>
    <w:pPr>
      <w:spacing w:lineRule="exact" w:line="210" w:before="210" w:after="0"/>
      <w:jc w:val="left"/>
    </w:pPr>
    <w:rPr>
      <w:sz w:val="18"/>
    </w:rPr>
  </w:style>
  <w:style w:type="paragraph" w:styleId="ISOClause" w:customStyle="1">
    <w:name w:val="ISO_Clause"/>
    <w:basedOn w:val="Normal"/>
    <w:qFormat/>
    <w:pPr>
      <w:spacing w:lineRule="exact" w:line="210" w:before="210" w:after="0"/>
      <w:jc w:val="left"/>
    </w:pPr>
    <w:rPr>
      <w:sz w:val="18"/>
    </w:rPr>
  </w:style>
  <w:style w:type="paragraph" w:styleId="ISOParagraph" w:customStyle="1">
    <w:name w:val="ISO_Paragraph"/>
    <w:basedOn w:val="Normal"/>
    <w:qFormat/>
    <w:pPr>
      <w:spacing w:lineRule="exact" w:line="210" w:before="210" w:after="0"/>
      <w:jc w:val="left"/>
    </w:pPr>
    <w:rPr>
      <w:sz w:val="18"/>
    </w:rPr>
  </w:style>
  <w:style w:type="paragraph" w:styleId="ISOCommType" w:customStyle="1">
    <w:name w:val="ISO_Comm_Type"/>
    <w:basedOn w:val="Normal"/>
    <w:qFormat/>
    <w:pPr>
      <w:spacing w:lineRule="exact" w:line="210" w:before="210" w:after="0"/>
      <w:jc w:val="left"/>
    </w:pPr>
    <w:rPr>
      <w:sz w:val="18"/>
    </w:rPr>
  </w:style>
  <w:style w:type="paragraph" w:styleId="ISOComments" w:customStyle="1">
    <w:name w:val="ISO_Comments"/>
    <w:basedOn w:val="Normal"/>
    <w:qFormat/>
    <w:pPr>
      <w:spacing w:lineRule="exact" w:line="210" w:before="210" w:after="0"/>
      <w:jc w:val="left"/>
    </w:pPr>
    <w:rPr>
      <w:sz w:val="18"/>
    </w:rPr>
  </w:style>
  <w:style w:type="paragraph" w:styleId="ISOChange" w:customStyle="1">
    <w:name w:val="ISO_Change"/>
    <w:basedOn w:val="Normal"/>
    <w:qFormat/>
    <w:pPr>
      <w:spacing w:lineRule="exact" w:line="210" w:before="210" w:after="0"/>
      <w:jc w:val="left"/>
    </w:pPr>
    <w:rPr>
      <w:sz w:val="18"/>
    </w:rPr>
  </w:style>
  <w:style w:type="paragraph" w:styleId="ISOSecretObservations" w:customStyle="1">
    <w:name w:val="ISO_Secret_Observations"/>
    <w:basedOn w:val="Normal"/>
    <w:qFormat/>
    <w:pPr>
      <w:spacing w:lineRule="exact" w:line="210" w:before="210" w:after="0"/>
      <w:jc w:val="left"/>
    </w:pPr>
    <w:rPr>
      <w:sz w:val="18"/>
    </w:rPr>
  </w:style>
  <w:style w:type="paragraph" w:styleId="Footnote">
    <w:name w:val="Footnote Text"/>
    <w:basedOn w:val="Normal"/>
    <w:semiHidden/>
    <w:pPr/>
    <w:rPr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commentmd1template.dot</Template>
  <TotalTime>621</TotalTime>
  <Application>LibreOffice/7.0.4.2$Linux_X86_64 LibreOffice_project/00$Build-2</Application>
  <AppVersion>15.0000</AppVersion>
  <Pages>1</Pages>
  <Words>500</Words>
  <Characters>2456</Characters>
  <CharactersWithSpaces>2898</CharactersWithSpaces>
  <Paragraphs>76</Paragraphs>
  <Company>ISO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2020-10-21T09:08:00Z</dcterms:created>
  <dc:creator>dow</dc:creator>
  <dc:description>FORM (ISO)</dc:description>
  <dc:language>en-GB</dc:language>
  <cp:lastModifiedBy/>
  <cp:lastPrinted>2001-10-25T12:04:00Z</cp:lastPrinted>
  <dcterms:modified xsi:type="dcterms:W3CDTF">2022-10-28T23:42:06Z</dcterms:modified>
  <cp:revision>6</cp:revision>
  <dc:subject/>
  <dc:title>CommentsOn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Operation">
    <vt:lpwstr>SavedAs</vt:lpwstr>
  </property>
</Properties>
</file>