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 Расчет экономического эффекта от приоритетной инициативы.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Выбрана инициатива по разработке собственного приложения для клиентов парка. Это решение комплекса проблем по взаимодействию и привлечению клиентов ,которые существуют на сегодняшний момент. Несмотря   на сложность реализации в долгосрочной перспективе это решение даст лучший результат и оно соответствует долгосрочной политики компании по развития всего проекта эко-парка.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10"/>
        <w:gridCol w:w="1245"/>
        <w:gridCol w:w="1335"/>
        <w:gridCol w:w="1515"/>
        <w:gridCol w:w="1335"/>
        <w:gridCol w:w="1320"/>
        <w:tblGridChange w:id="0">
          <w:tblGrid>
            <w:gridCol w:w="1890"/>
            <w:gridCol w:w="1410"/>
            <w:gridCol w:w="1245"/>
            <w:gridCol w:w="1335"/>
            <w:gridCol w:w="1515"/>
            <w:gridCol w:w="133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Инвестиции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Опер.доходы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2 500 000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8 000 000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Опер.расходы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Чистый денежный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-7 000 000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1 600 000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2 050 000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2 500 000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4 450 000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7 420 000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Коэффициент дисконтирования примем за текущую ставку рефинансирования ЦБ РФ  13% в год.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762000</wp:posOffset>
            </wp:positionH>
            <wp:positionV relativeFrom="page">
              <wp:posOffset>4795040</wp:posOffset>
            </wp:positionV>
            <wp:extent cx="3709988" cy="5799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579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NPV = -7 + 1.6/1.13 + 2.05/1.13^2 + 2.5/1.13^3 + 4.45/1.13^4 + 7.42/1.13^5 = 11.51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Проект рентабелен со сроком окупаемости от 4 лет.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