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6. Приоритезация инициативы с помощью фреймворка RICE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Рассмотрим гипотезы оптимизации представленного проекта и выберем из них приоритетную, используя методологию RISE. Расширим список инициатив предложениями из других отделов.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5.511811023622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1.885332515254"/>
        <w:gridCol w:w="2044.4830759791394"/>
        <w:gridCol w:w="1758.2554453420596"/>
        <w:gridCol w:w="1935.443978593585"/>
        <w:gridCol w:w="1935.443978593585"/>
        <w:tblGridChange w:id="0">
          <w:tblGrid>
            <w:gridCol w:w="1771.885332515254"/>
            <w:gridCol w:w="2044.4830759791394"/>
            <w:gridCol w:w="1758.2554453420596"/>
            <w:gridCol w:w="1935.443978593585"/>
            <w:gridCol w:w="1935.44397859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Ускорение строительства инфраструктуры парка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Маркетинг и реклама для привлечения гостей парка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Предоставление партнерам парка локаций для мероприятий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Участие в тематических мероприятиях и выставках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Reach (Охват)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 (Влияние)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Confidence (Уверенность)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Effort (Затраты)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Rice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Приоритетной гипотезой выбран проект привлечения партнеров парка и льготное предоставление им локаций на территории парка для проведения собственных мероприятий.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