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E6009A" w:rsidRPr="00EA4C1F" w:rsidRDefault="00000000">
      <w:pPr>
        <w:tabs>
          <w:tab w:val="left" w:pos="11530"/>
        </w:tabs>
        <w:spacing w:after="0" w:line="480" w:lineRule="auto"/>
        <w:ind w:firstLine="708"/>
        <w:jc w:val="both"/>
        <w:rPr>
          <w:rFonts w:ascii="Times New Roman" w:eastAsia="Times New Roman" w:hAnsi="Times New Roman" w:cs="Times New Roman"/>
          <w:sz w:val="24"/>
          <w:szCs w:val="24"/>
        </w:rPr>
      </w:pPr>
      <w:r w:rsidRPr="00EA4C1F">
        <w:rPr>
          <w:rFonts w:ascii="Times New Roman" w:eastAsia="Times New Roman" w:hAnsi="Times New Roman" w:cs="Times New Roman"/>
          <w:b/>
          <w:bCs/>
        </w:rPr>
        <w:t xml:space="preserve">   </w:t>
      </w:r>
      <w:sdt>
        <w:sdtPr>
          <w:rPr>
            <w:rFonts w:ascii="Times New Roman" w:hAnsi="Times New Roman" w:cs="Times New Roman"/>
          </w:rPr>
          <w:tag w:val="goog_rdk_0"/>
          <w:id w:val="1078965271"/>
        </w:sdtPr>
        <w:sdtContent>
          <w:commentRangeStart w:id="0"/>
        </w:sdtContent>
      </w:sdt>
      <w:r w:rsidRPr="00EA4C1F">
        <w:rPr>
          <w:rFonts w:ascii="Times New Roman" w:eastAsia="Times New Roman" w:hAnsi="Times New Roman" w:cs="Times New Roman"/>
          <w:b/>
          <w:bCs/>
          <w:noProof/>
          <w:color w:val="000000"/>
        </w:rPr>
        <w:drawing>
          <wp:inline distT="0" distB="0" distL="0" distR="0" wp14:anchorId="12174321" wp14:editId="217709A7">
            <wp:extent cx="2428875" cy="1647825"/>
            <wp:effectExtent l="0" t="0" r="0" b="0"/>
            <wp:docPr id="26" name="image21.png" descr="Logotip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21.png" descr="Logotipo&#10;&#10;Descripción generada automáticamente"/>
                    <pic:cNvPicPr preferRelativeResize="0"/>
                  </pic:nvPicPr>
                  <pic:blipFill>
                    <a:blip r:embed="rId9"/>
                    <a:srcRect/>
                    <a:stretch>
                      <a:fillRect/>
                    </a:stretch>
                  </pic:blipFill>
                  <pic:spPr>
                    <a:xfrm>
                      <a:off x="0" y="0"/>
                      <a:ext cx="2428875" cy="1647825"/>
                    </a:xfrm>
                    <a:prstGeom prst="rect">
                      <a:avLst/>
                    </a:prstGeom>
                    <a:ln/>
                  </pic:spPr>
                </pic:pic>
              </a:graphicData>
            </a:graphic>
          </wp:inline>
        </w:drawing>
      </w:r>
      <w:r w:rsidRPr="00EA4C1F">
        <w:rPr>
          <w:rFonts w:ascii="Times New Roman" w:eastAsia="Times New Roman" w:hAnsi="Times New Roman" w:cs="Times New Roman"/>
          <w:b/>
          <w:bCs/>
          <w:color w:val="000000"/>
        </w:rPr>
        <w:t xml:space="preserve">                  </w:t>
      </w:r>
      <w:r w:rsidRPr="00EA4C1F">
        <w:rPr>
          <w:rFonts w:ascii="Times New Roman" w:eastAsia="Times New Roman" w:hAnsi="Times New Roman" w:cs="Times New Roman"/>
          <w:b/>
          <w:bCs/>
          <w:noProof/>
          <w:color w:val="000000"/>
        </w:rPr>
        <w:drawing>
          <wp:inline distT="0" distB="0" distL="0" distR="0" wp14:anchorId="6EBA1C23" wp14:editId="74D66E10">
            <wp:extent cx="1714500" cy="1933575"/>
            <wp:effectExtent l="0" t="0" r="0" b="0"/>
            <wp:docPr id="27" name="image27.png" descr="Logotip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27.png" descr="Logotipo&#10;&#10;Descripción generada automáticamente"/>
                    <pic:cNvPicPr preferRelativeResize="0"/>
                  </pic:nvPicPr>
                  <pic:blipFill>
                    <a:blip r:embed="rId10"/>
                    <a:srcRect/>
                    <a:stretch>
                      <a:fillRect/>
                    </a:stretch>
                  </pic:blipFill>
                  <pic:spPr>
                    <a:xfrm>
                      <a:off x="0" y="0"/>
                      <a:ext cx="1714500" cy="1933575"/>
                    </a:xfrm>
                    <a:prstGeom prst="rect">
                      <a:avLst/>
                    </a:prstGeom>
                    <a:ln/>
                  </pic:spPr>
                </pic:pic>
              </a:graphicData>
            </a:graphic>
          </wp:inline>
        </w:drawing>
      </w:r>
      <w:r w:rsidRPr="00EA4C1F">
        <w:rPr>
          <w:rFonts w:ascii="Times New Roman" w:eastAsia="Times New Roman" w:hAnsi="Times New Roman" w:cs="Times New Roman"/>
          <w:b/>
          <w:bCs/>
          <w:color w:val="000000"/>
        </w:rPr>
        <w:t xml:space="preserve">                    </w:t>
      </w:r>
      <w:r w:rsidRPr="00EA4C1F">
        <w:rPr>
          <w:rFonts w:ascii="Times New Roman" w:eastAsia="Times New Roman" w:hAnsi="Times New Roman" w:cs="Times New Roman"/>
          <w:b/>
          <w:bCs/>
          <w:color w:val="000000"/>
        </w:rPr>
        <w:tab/>
      </w:r>
      <w:commentRangeEnd w:id="0"/>
      <w:r w:rsidRPr="00EA4C1F">
        <w:rPr>
          <w:rFonts w:ascii="Times New Roman" w:hAnsi="Times New Roman" w:cs="Times New Roman"/>
        </w:rPr>
        <w:commentReference w:id="0"/>
      </w:r>
    </w:p>
    <w:p w14:paraId="00000002" w14:textId="77777777" w:rsidR="00E6009A" w:rsidRPr="00EA4C1F" w:rsidRDefault="00E6009A">
      <w:pPr>
        <w:spacing w:after="0" w:line="480" w:lineRule="auto"/>
        <w:jc w:val="both"/>
        <w:rPr>
          <w:rFonts w:ascii="Times New Roman" w:eastAsia="Times New Roman" w:hAnsi="Times New Roman" w:cs="Times New Roman"/>
          <w:sz w:val="24"/>
          <w:szCs w:val="24"/>
        </w:rPr>
      </w:pPr>
    </w:p>
    <w:p w14:paraId="00000003" w14:textId="77777777" w:rsidR="00E6009A" w:rsidRPr="00EA4C1F" w:rsidRDefault="00000000">
      <w:pPr>
        <w:spacing w:after="0" w:line="480" w:lineRule="auto"/>
        <w:jc w:val="both"/>
        <w:rPr>
          <w:rFonts w:ascii="Times New Roman" w:eastAsia="Times New Roman" w:hAnsi="Times New Roman" w:cs="Times New Roman"/>
          <w:b/>
          <w:bCs/>
          <w:color w:val="000000"/>
          <w:sz w:val="36"/>
          <w:szCs w:val="36"/>
        </w:rPr>
      </w:pPr>
      <w:r w:rsidRPr="00EA4C1F">
        <w:rPr>
          <w:rFonts w:ascii="Times New Roman" w:eastAsia="Times New Roman" w:hAnsi="Times New Roman" w:cs="Times New Roman"/>
          <w:b/>
          <w:bCs/>
          <w:color w:val="000000"/>
          <w:sz w:val="36"/>
          <w:szCs w:val="36"/>
        </w:rPr>
        <w:t>UNIVERSIDAD DE BUENOS AIRES</w:t>
      </w:r>
    </w:p>
    <w:p w14:paraId="00000004" w14:textId="77777777" w:rsidR="00E6009A" w:rsidRPr="00EA4C1F" w:rsidRDefault="00000000">
      <w:pPr>
        <w:spacing w:after="0" w:line="480" w:lineRule="auto"/>
        <w:jc w:val="both"/>
        <w:rPr>
          <w:rFonts w:ascii="Times New Roman" w:eastAsia="Times New Roman" w:hAnsi="Times New Roman" w:cs="Times New Roman"/>
          <w:b/>
          <w:bCs/>
          <w:color w:val="000000"/>
          <w:sz w:val="28"/>
          <w:szCs w:val="28"/>
        </w:rPr>
      </w:pPr>
      <w:r w:rsidRPr="00EA4C1F">
        <w:rPr>
          <w:rFonts w:ascii="Times New Roman" w:eastAsia="Times New Roman" w:hAnsi="Times New Roman" w:cs="Times New Roman"/>
          <w:b/>
          <w:bCs/>
          <w:color w:val="000000"/>
          <w:sz w:val="28"/>
          <w:szCs w:val="28"/>
        </w:rPr>
        <w:t>Facultad de Ciencias Económicas</w:t>
      </w:r>
    </w:p>
    <w:p w14:paraId="00000005" w14:textId="77777777" w:rsidR="00E6009A" w:rsidRPr="00EA4C1F" w:rsidRDefault="00E6009A">
      <w:pPr>
        <w:spacing w:after="0" w:line="480" w:lineRule="auto"/>
        <w:jc w:val="both"/>
        <w:rPr>
          <w:rFonts w:ascii="Times New Roman" w:eastAsia="Times New Roman" w:hAnsi="Times New Roman" w:cs="Times New Roman"/>
          <w:b/>
          <w:bCs/>
          <w:color w:val="000000"/>
          <w:sz w:val="32"/>
          <w:szCs w:val="32"/>
        </w:rPr>
      </w:pPr>
    </w:p>
    <w:p w14:paraId="00000006" w14:textId="77777777" w:rsidR="00E6009A" w:rsidRPr="00EA4C1F" w:rsidRDefault="00000000">
      <w:pPr>
        <w:spacing w:after="0" w:line="480" w:lineRule="auto"/>
        <w:jc w:val="both"/>
        <w:rPr>
          <w:rFonts w:ascii="Times New Roman" w:eastAsia="Times New Roman" w:hAnsi="Times New Roman" w:cs="Times New Roman"/>
          <w:b/>
          <w:bCs/>
          <w:color w:val="000000"/>
          <w:sz w:val="32"/>
          <w:szCs w:val="32"/>
        </w:rPr>
      </w:pPr>
      <w:r w:rsidRPr="00EA4C1F">
        <w:rPr>
          <w:rFonts w:ascii="Times New Roman" w:eastAsia="Times New Roman" w:hAnsi="Times New Roman" w:cs="Times New Roman"/>
          <w:b/>
          <w:bCs/>
          <w:color w:val="000000"/>
          <w:sz w:val="32"/>
          <w:szCs w:val="32"/>
        </w:rPr>
        <w:t>Práctica Profesional del Actuario</w:t>
      </w:r>
    </w:p>
    <w:p w14:paraId="00000007" w14:textId="77777777" w:rsidR="00E6009A" w:rsidRPr="00EA4C1F" w:rsidRDefault="00000000">
      <w:pPr>
        <w:spacing w:after="0" w:line="480" w:lineRule="auto"/>
        <w:jc w:val="both"/>
        <w:rPr>
          <w:rFonts w:ascii="Times New Roman" w:eastAsia="Times New Roman" w:hAnsi="Times New Roman" w:cs="Times New Roman"/>
        </w:rPr>
      </w:pPr>
      <w:r w:rsidRPr="00EA4C1F">
        <w:rPr>
          <w:rFonts w:ascii="Times New Roman" w:eastAsia="Times New Roman" w:hAnsi="Times New Roman" w:cs="Times New Roman"/>
          <w:b/>
          <w:bCs/>
          <w:color w:val="000000"/>
          <w:sz w:val="28"/>
          <w:szCs w:val="28"/>
        </w:rPr>
        <w:t> “</w:t>
      </w:r>
      <w:r w:rsidRPr="00EA4C1F">
        <w:rPr>
          <w:rFonts w:ascii="Times New Roman" w:eastAsia="Times New Roman" w:hAnsi="Times New Roman" w:cs="Times New Roman"/>
        </w:rPr>
        <w:t>Análisis y comparación de metodologías de reservas para siniestros incurridos, pero no reportados (IBNR) bajo la normativa IFRS 17 y el Reglamento General de la Actividad Aseguradora (RGAA) para el ramo de Responsabilidad Civil Automotor.</w:t>
      </w:r>
      <w:r w:rsidRPr="00EA4C1F">
        <w:rPr>
          <w:rFonts w:ascii="Times New Roman" w:eastAsia="Times New Roman" w:hAnsi="Times New Roman" w:cs="Times New Roman"/>
          <w:b/>
          <w:bCs/>
          <w:color w:val="000000"/>
          <w:sz w:val="28"/>
          <w:szCs w:val="28"/>
        </w:rPr>
        <w:t>”</w:t>
      </w:r>
    </w:p>
    <w:p w14:paraId="00000008" w14:textId="77777777" w:rsidR="00E6009A" w:rsidRPr="00EA4C1F" w:rsidRDefault="00000000">
      <w:pPr>
        <w:spacing w:after="0" w:line="276" w:lineRule="auto"/>
        <w:jc w:val="both"/>
        <w:rPr>
          <w:rFonts w:ascii="Times New Roman" w:eastAsia="Times New Roman" w:hAnsi="Times New Roman" w:cs="Times New Roman"/>
          <w:color w:val="000000"/>
          <w:sz w:val="24"/>
          <w:szCs w:val="24"/>
        </w:rPr>
      </w:pPr>
      <w:r w:rsidRPr="00EA4C1F">
        <w:rPr>
          <w:rFonts w:ascii="Times New Roman" w:eastAsia="Times New Roman" w:hAnsi="Times New Roman" w:cs="Times New Roman"/>
          <w:b/>
          <w:bCs/>
          <w:color w:val="000000"/>
          <w:sz w:val="24"/>
          <w:szCs w:val="24"/>
        </w:rPr>
        <w:t xml:space="preserve">Alumno:  </w:t>
      </w:r>
      <w:r w:rsidRPr="00EA4C1F">
        <w:rPr>
          <w:rFonts w:ascii="Times New Roman" w:eastAsia="Times New Roman" w:hAnsi="Times New Roman" w:cs="Times New Roman"/>
          <w:color w:val="000000"/>
          <w:sz w:val="24"/>
          <w:szCs w:val="24"/>
        </w:rPr>
        <w:t>Alex Dan Burs</w:t>
      </w:r>
    </w:p>
    <w:p w14:paraId="00000009" w14:textId="77777777" w:rsidR="00E6009A" w:rsidRPr="00EA4C1F" w:rsidRDefault="00000000">
      <w:pPr>
        <w:spacing w:after="0" w:line="276" w:lineRule="auto"/>
        <w:jc w:val="both"/>
        <w:rPr>
          <w:rFonts w:ascii="Times New Roman" w:eastAsia="Times New Roman" w:hAnsi="Times New Roman" w:cs="Times New Roman"/>
          <w:color w:val="000000"/>
          <w:sz w:val="24"/>
          <w:szCs w:val="24"/>
        </w:rPr>
      </w:pPr>
      <w:r w:rsidRPr="00EA4C1F">
        <w:rPr>
          <w:rFonts w:ascii="Times New Roman" w:eastAsia="Times New Roman" w:hAnsi="Times New Roman" w:cs="Times New Roman"/>
          <w:b/>
          <w:bCs/>
          <w:color w:val="000000"/>
          <w:sz w:val="24"/>
          <w:szCs w:val="24"/>
        </w:rPr>
        <w:t xml:space="preserve">E-Mail:  </w:t>
      </w:r>
      <w:r w:rsidRPr="00EA4C1F">
        <w:rPr>
          <w:rFonts w:ascii="Times New Roman" w:eastAsia="Times New Roman" w:hAnsi="Times New Roman" w:cs="Times New Roman"/>
          <w:color w:val="000000"/>
          <w:sz w:val="24"/>
          <w:szCs w:val="24"/>
        </w:rPr>
        <w:t>alexd.burs@gmail.com</w:t>
      </w:r>
    </w:p>
    <w:p w14:paraId="0000000A" w14:textId="77777777" w:rsidR="00E6009A" w:rsidRPr="00EA4C1F" w:rsidRDefault="00000000">
      <w:pPr>
        <w:spacing w:after="0" w:line="276" w:lineRule="auto"/>
        <w:jc w:val="both"/>
        <w:rPr>
          <w:rFonts w:ascii="Times New Roman" w:eastAsia="Times New Roman" w:hAnsi="Times New Roman" w:cs="Times New Roman"/>
          <w:color w:val="000000"/>
          <w:sz w:val="24"/>
          <w:szCs w:val="24"/>
        </w:rPr>
      </w:pPr>
      <w:r w:rsidRPr="00EA4C1F">
        <w:rPr>
          <w:rFonts w:ascii="Times New Roman" w:eastAsia="Times New Roman" w:hAnsi="Times New Roman" w:cs="Times New Roman"/>
          <w:b/>
          <w:bCs/>
          <w:color w:val="000000"/>
          <w:sz w:val="24"/>
          <w:szCs w:val="24"/>
        </w:rPr>
        <w:t xml:space="preserve">Registro:  </w:t>
      </w:r>
      <w:r w:rsidRPr="00EA4C1F">
        <w:rPr>
          <w:rFonts w:ascii="Times New Roman" w:eastAsia="Times New Roman" w:hAnsi="Times New Roman" w:cs="Times New Roman"/>
          <w:color w:val="000000"/>
          <w:sz w:val="24"/>
          <w:szCs w:val="24"/>
        </w:rPr>
        <w:t>888.188</w:t>
      </w:r>
    </w:p>
    <w:p w14:paraId="0000000B" w14:textId="77777777" w:rsidR="00E6009A" w:rsidRPr="00EA4C1F" w:rsidRDefault="00E6009A">
      <w:pPr>
        <w:spacing w:after="0" w:line="276" w:lineRule="auto"/>
        <w:jc w:val="both"/>
        <w:rPr>
          <w:rFonts w:ascii="Times New Roman" w:eastAsia="Times New Roman" w:hAnsi="Times New Roman" w:cs="Times New Roman"/>
        </w:rPr>
      </w:pPr>
    </w:p>
    <w:p w14:paraId="0000000C" w14:textId="77777777" w:rsidR="00E6009A" w:rsidRPr="00EA4C1F" w:rsidRDefault="00000000">
      <w:pPr>
        <w:spacing w:after="0" w:line="276" w:lineRule="auto"/>
        <w:jc w:val="both"/>
        <w:rPr>
          <w:rFonts w:ascii="Times New Roman" w:eastAsia="Times New Roman" w:hAnsi="Times New Roman" w:cs="Times New Roman"/>
          <w:color w:val="000000"/>
          <w:sz w:val="24"/>
          <w:szCs w:val="24"/>
        </w:rPr>
      </w:pPr>
      <w:r w:rsidRPr="00EA4C1F">
        <w:rPr>
          <w:rFonts w:ascii="Times New Roman" w:eastAsia="Times New Roman" w:hAnsi="Times New Roman" w:cs="Times New Roman"/>
          <w:b/>
          <w:bCs/>
          <w:color w:val="000000"/>
          <w:sz w:val="24"/>
          <w:szCs w:val="24"/>
        </w:rPr>
        <w:t>Tutor/a</w:t>
      </w:r>
      <w:r w:rsidRPr="00EA4C1F">
        <w:rPr>
          <w:rFonts w:ascii="Times New Roman" w:eastAsia="Times New Roman" w:hAnsi="Times New Roman" w:cs="Times New Roman"/>
          <w:color w:val="000000"/>
          <w:sz w:val="24"/>
          <w:szCs w:val="24"/>
        </w:rPr>
        <w:t>: Daiana Levit</w:t>
      </w:r>
    </w:p>
    <w:p w14:paraId="0000000D" w14:textId="77777777" w:rsidR="00E6009A" w:rsidRPr="00EA4C1F" w:rsidRDefault="00000000">
      <w:pPr>
        <w:spacing w:after="0" w:line="276" w:lineRule="auto"/>
        <w:jc w:val="both"/>
        <w:rPr>
          <w:rFonts w:ascii="Times New Roman" w:eastAsia="Times New Roman" w:hAnsi="Times New Roman" w:cs="Times New Roman"/>
        </w:rPr>
      </w:pPr>
      <w:r w:rsidRPr="00EA4C1F">
        <w:rPr>
          <w:rFonts w:ascii="Times New Roman" w:eastAsia="Times New Roman" w:hAnsi="Times New Roman" w:cs="Times New Roman"/>
          <w:b/>
          <w:bCs/>
          <w:color w:val="000000"/>
          <w:sz w:val="24"/>
          <w:szCs w:val="24"/>
        </w:rPr>
        <w:t xml:space="preserve">E-Mail: </w:t>
      </w:r>
      <w:r w:rsidRPr="00EA4C1F">
        <w:rPr>
          <w:rFonts w:ascii="Times New Roman" w:eastAsia="Times New Roman" w:hAnsi="Times New Roman" w:cs="Times New Roman"/>
          <w:color w:val="000000"/>
          <w:sz w:val="24"/>
          <w:szCs w:val="24"/>
        </w:rPr>
        <w:t> </w:t>
      </w:r>
      <w:hyperlink r:id="rId14">
        <w:r w:rsidRPr="00EA4C1F">
          <w:rPr>
            <w:rFonts w:ascii="Times New Roman" w:eastAsia="Times New Roman" w:hAnsi="Times New Roman" w:cs="Times New Roman"/>
            <w:color w:val="467886"/>
            <w:sz w:val="24"/>
            <w:szCs w:val="24"/>
          </w:rPr>
          <w:t>dailevit@gmail.com</w:t>
        </w:r>
      </w:hyperlink>
    </w:p>
    <w:p w14:paraId="0000000E" w14:textId="77777777" w:rsidR="00E6009A" w:rsidRPr="00EA4C1F" w:rsidRDefault="00000000">
      <w:pPr>
        <w:spacing w:after="0" w:line="276" w:lineRule="auto"/>
        <w:jc w:val="both"/>
        <w:rPr>
          <w:rFonts w:ascii="Times New Roman" w:eastAsia="Times New Roman" w:hAnsi="Times New Roman" w:cs="Times New Roman"/>
        </w:rPr>
      </w:pPr>
      <w:r w:rsidRPr="00EA4C1F">
        <w:rPr>
          <w:rFonts w:ascii="Times New Roman" w:eastAsia="Times New Roman" w:hAnsi="Times New Roman" w:cs="Times New Roman"/>
          <w:b/>
          <w:bCs/>
          <w:color w:val="000000"/>
          <w:sz w:val="24"/>
          <w:szCs w:val="24"/>
        </w:rPr>
        <w:t xml:space="preserve">Firma: </w:t>
      </w:r>
      <w:r w:rsidRPr="00EA4C1F">
        <w:rPr>
          <w:rFonts w:ascii="Times New Roman" w:eastAsia="Times New Roman" w:hAnsi="Times New Roman" w:cs="Times New Roman"/>
          <w:color w:val="000000"/>
          <w:sz w:val="24"/>
          <w:szCs w:val="24"/>
        </w:rPr>
        <w:t> </w:t>
      </w:r>
    </w:p>
    <w:p w14:paraId="0000000F" w14:textId="77777777" w:rsidR="00E6009A" w:rsidRPr="00EA4C1F" w:rsidRDefault="00E6009A">
      <w:pPr>
        <w:spacing w:after="0" w:line="480" w:lineRule="auto"/>
        <w:jc w:val="both"/>
        <w:rPr>
          <w:rFonts w:ascii="Times New Roman" w:eastAsia="Times New Roman" w:hAnsi="Times New Roman" w:cs="Times New Roman"/>
          <w:color w:val="000000"/>
          <w:sz w:val="28"/>
          <w:szCs w:val="28"/>
        </w:rPr>
      </w:pPr>
    </w:p>
    <w:p w14:paraId="00000010" w14:textId="77777777" w:rsidR="00E6009A" w:rsidRPr="00EA4C1F" w:rsidRDefault="00000000" w:rsidP="00EA4C1F">
      <w:pPr>
        <w:pStyle w:val="Heading1"/>
      </w:pPr>
      <w:bookmarkStart w:id="1" w:name="_heading=h.k70h4fsukjau" w:colFirst="0" w:colLast="0"/>
      <w:bookmarkEnd w:id="1"/>
      <w:r w:rsidRPr="00EA4C1F">
        <w:lastRenderedPageBreak/>
        <w:t>Resumen</w:t>
      </w:r>
    </w:p>
    <w:p w14:paraId="00000011" w14:textId="77777777" w:rsidR="00E6009A" w:rsidRPr="00EA4C1F" w:rsidRDefault="00000000" w:rsidP="00EA4C1F">
      <w:p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En el presente texto, se busca llevar a cabo un análisis de la efectividad de la nueva metodología de cálculo de reservas de siniestros incurridos pero no reportados (IBNR, por sus siglas en inglés </w:t>
      </w:r>
      <w:proofErr w:type="spellStart"/>
      <w:r w:rsidRPr="00EA4C1F">
        <w:rPr>
          <w:rFonts w:ascii="Times New Roman" w:eastAsia="Times New Roman" w:hAnsi="Times New Roman" w:cs="Times New Roman"/>
          <w:sz w:val="24"/>
          <w:szCs w:val="24"/>
        </w:rPr>
        <w:t>Incurred</w:t>
      </w:r>
      <w:proofErr w:type="spellEnd"/>
      <w:r w:rsidRPr="00EA4C1F">
        <w:rPr>
          <w:rFonts w:ascii="Times New Roman" w:eastAsia="Times New Roman" w:hAnsi="Times New Roman" w:cs="Times New Roman"/>
          <w:sz w:val="24"/>
          <w:szCs w:val="24"/>
        </w:rPr>
        <w:t xml:space="preserve"> But Not </w:t>
      </w:r>
      <w:proofErr w:type="spellStart"/>
      <w:r w:rsidRPr="00EA4C1F">
        <w:rPr>
          <w:rFonts w:ascii="Times New Roman" w:eastAsia="Times New Roman" w:hAnsi="Times New Roman" w:cs="Times New Roman"/>
          <w:sz w:val="24"/>
          <w:szCs w:val="24"/>
        </w:rPr>
        <w:t>Reported</w:t>
      </w:r>
      <w:proofErr w:type="spellEnd"/>
      <w:r w:rsidRPr="00EA4C1F">
        <w:rPr>
          <w:rFonts w:ascii="Times New Roman" w:eastAsia="Times New Roman" w:hAnsi="Times New Roman" w:cs="Times New Roman"/>
          <w:sz w:val="24"/>
          <w:szCs w:val="24"/>
        </w:rPr>
        <w:t xml:space="preserve">), dispuesta en la </w:t>
      </w:r>
      <w:r w:rsidRPr="00EA4C1F">
        <w:rPr>
          <w:rFonts w:ascii="Times New Roman" w:eastAsia="Times New Roman" w:hAnsi="Times New Roman" w:cs="Times New Roman"/>
          <w:color w:val="EE0000"/>
          <w:sz w:val="24"/>
          <w:szCs w:val="24"/>
        </w:rPr>
        <w:t>Resolución 287/2025</w:t>
      </w:r>
      <w:r w:rsidRPr="00EA4C1F">
        <w:rPr>
          <w:rFonts w:ascii="Times New Roman" w:eastAsia="Times New Roman" w:hAnsi="Times New Roman" w:cs="Times New Roman"/>
          <w:color w:val="EE0000"/>
          <w:sz w:val="24"/>
          <w:szCs w:val="24"/>
          <w:vertAlign w:val="superscript"/>
        </w:rPr>
        <w:footnoteReference w:id="1"/>
      </w:r>
      <w:r w:rsidRPr="00EA4C1F">
        <w:rPr>
          <w:rFonts w:ascii="Times New Roman" w:eastAsia="Times New Roman" w:hAnsi="Times New Roman" w:cs="Times New Roman"/>
          <w:sz w:val="24"/>
          <w:szCs w:val="24"/>
        </w:rPr>
        <w:t xml:space="preserve"> e incorporada al </w:t>
      </w:r>
      <w:r w:rsidRPr="00EA4C1F">
        <w:rPr>
          <w:rFonts w:ascii="Times New Roman" w:eastAsia="Times New Roman" w:hAnsi="Times New Roman" w:cs="Times New Roman"/>
          <w:i/>
          <w:iCs/>
          <w:sz w:val="24"/>
          <w:szCs w:val="24"/>
        </w:rPr>
        <w:t>Reglamento General de la Actividad Aseguradora</w:t>
      </w:r>
      <w:r w:rsidRPr="00EA4C1F">
        <w:rPr>
          <w:rFonts w:ascii="Times New Roman" w:eastAsia="Times New Roman" w:hAnsi="Times New Roman" w:cs="Times New Roman"/>
          <w:sz w:val="24"/>
          <w:szCs w:val="24"/>
          <w:vertAlign w:val="superscript"/>
        </w:rPr>
        <w:footnoteReference w:id="2"/>
      </w:r>
      <w:r w:rsidRPr="00EA4C1F">
        <w:rPr>
          <w:rFonts w:ascii="Times New Roman" w:eastAsia="Times New Roman" w:hAnsi="Times New Roman" w:cs="Times New Roman"/>
          <w:sz w:val="24"/>
          <w:szCs w:val="24"/>
        </w:rPr>
        <w:t xml:space="preserve"> (de ahora en más, RGAA); y su comparación con los métodos usualmente empleados para la normativa </w:t>
      </w:r>
      <w:r w:rsidRPr="00EA4C1F">
        <w:rPr>
          <w:rFonts w:ascii="Times New Roman" w:eastAsia="Times New Roman" w:hAnsi="Times New Roman" w:cs="Times New Roman"/>
          <w:i/>
          <w:iCs/>
          <w:sz w:val="24"/>
          <w:szCs w:val="24"/>
        </w:rPr>
        <w:t xml:space="preserve">International </w:t>
      </w:r>
      <w:proofErr w:type="spellStart"/>
      <w:r w:rsidRPr="00EA4C1F">
        <w:rPr>
          <w:rFonts w:ascii="Times New Roman" w:eastAsia="Times New Roman" w:hAnsi="Times New Roman" w:cs="Times New Roman"/>
          <w:i/>
          <w:iCs/>
          <w:sz w:val="24"/>
          <w:szCs w:val="24"/>
        </w:rPr>
        <w:t>Financial</w:t>
      </w:r>
      <w:proofErr w:type="spellEnd"/>
      <w:r w:rsidRPr="00EA4C1F">
        <w:rPr>
          <w:rFonts w:ascii="Times New Roman" w:eastAsia="Times New Roman" w:hAnsi="Times New Roman" w:cs="Times New Roman"/>
          <w:i/>
          <w:iCs/>
          <w:sz w:val="24"/>
          <w:szCs w:val="24"/>
        </w:rPr>
        <w:t xml:space="preserve"> </w:t>
      </w:r>
      <w:proofErr w:type="spellStart"/>
      <w:r w:rsidRPr="00EA4C1F">
        <w:rPr>
          <w:rFonts w:ascii="Times New Roman" w:eastAsia="Times New Roman" w:hAnsi="Times New Roman" w:cs="Times New Roman"/>
          <w:i/>
          <w:iCs/>
          <w:sz w:val="24"/>
          <w:szCs w:val="24"/>
        </w:rPr>
        <w:t>Reporting</w:t>
      </w:r>
      <w:proofErr w:type="spellEnd"/>
      <w:r w:rsidRPr="00EA4C1F">
        <w:rPr>
          <w:rFonts w:ascii="Times New Roman" w:eastAsia="Times New Roman" w:hAnsi="Times New Roman" w:cs="Times New Roman"/>
          <w:i/>
          <w:iCs/>
          <w:sz w:val="24"/>
          <w:szCs w:val="24"/>
        </w:rPr>
        <w:t xml:space="preserve"> </w:t>
      </w:r>
      <w:proofErr w:type="spellStart"/>
      <w:r w:rsidRPr="00EA4C1F">
        <w:rPr>
          <w:rFonts w:ascii="Times New Roman" w:eastAsia="Times New Roman" w:hAnsi="Times New Roman" w:cs="Times New Roman"/>
          <w:i/>
          <w:iCs/>
          <w:sz w:val="24"/>
          <w:szCs w:val="24"/>
        </w:rPr>
        <w:t>Standards</w:t>
      </w:r>
      <w:proofErr w:type="spellEnd"/>
      <w:r w:rsidRPr="00EA4C1F">
        <w:rPr>
          <w:rFonts w:ascii="Times New Roman" w:eastAsia="Times New Roman" w:hAnsi="Times New Roman" w:cs="Times New Roman"/>
          <w:i/>
          <w:iCs/>
          <w:sz w:val="24"/>
          <w:szCs w:val="24"/>
        </w:rPr>
        <w:t xml:space="preserve"> 17</w:t>
      </w:r>
      <w:r w:rsidRPr="00EA4C1F">
        <w:rPr>
          <w:rFonts w:ascii="Times New Roman" w:eastAsia="Times New Roman" w:hAnsi="Times New Roman" w:cs="Times New Roman"/>
          <w:i/>
          <w:iCs/>
          <w:sz w:val="24"/>
          <w:szCs w:val="24"/>
          <w:vertAlign w:val="superscript"/>
        </w:rPr>
        <w:footnoteReference w:id="3"/>
      </w:r>
      <w:r w:rsidRPr="00EA4C1F">
        <w:rPr>
          <w:rFonts w:ascii="Times New Roman" w:eastAsia="Times New Roman" w:hAnsi="Times New Roman" w:cs="Times New Roman"/>
          <w:sz w:val="24"/>
          <w:szCs w:val="24"/>
        </w:rPr>
        <w:t xml:space="preserve"> (de ahora en más, IFRS 17). Para este fin, se trabajó </w:t>
      </w:r>
      <w:sdt>
        <w:sdtPr>
          <w:rPr>
            <w:rFonts w:ascii="Times New Roman" w:hAnsi="Times New Roman" w:cs="Times New Roman"/>
          </w:rPr>
          <w:tag w:val="goog_rdk_1"/>
          <w:id w:val="-1435142054"/>
        </w:sdtPr>
        <w:sdtContent>
          <w:commentRangeStart w:id="2"/>
        </w:sdtContent>
      </w:sdt>
      <w:sdt>
        <w:sdtPr>
          <w:rPr>
            <w:rFonts w:ascii="Times New Roman" w:hAnsi="Times New Roman" w:cs="Times New Roman"/>
          </w:rPr>
          <w:tag w:val="goog_rdk_2"/>
          <w:id w:val="-2014271224"/>
        </w:sdtPr>
        <w:sdtContent>
          <w:commentRangeStart w:id="3"/>
        </w:sdtContent>
      </w:sdt>
      <w:sdt>
        <w:sdtPr>
          <w:rPr>
            <w:rFonts w:ascii="Times New Roman" w:hAnsi="Times New Roman" w:cs="Times New Roman"/>
          </w:rPr>
          <w:tag w:val="goog_rdk_3"/>
          <w:id w:val="-1596633411"/>
        </w:sdtPr>
        <w:sdtContent>
          <w:commentRangeStart w:id="4"/>
        </w:sdtContent>
      </w:sdt>
      <w:sdt>
        <w:sdtPr>
          <w:rPr>
            <w:rFonts w:ascii="Times New Roman" w:hAnsi="Times New Roman" w:cs="Times New Roman"/>
          </w:rPr>
          <w:tag w:val="goog_rdk_4"/>
          <w:id w:val="-649244331"/>
        </w:sdtPr>
        <w:sdtContent>
          <w:commentRangeStart w:id="5"/>
        </w:sdtContent>
      </w:sdt>
      <w:sdt>
        <w:sdtPr>
          <w:rPr>
            <w:rFonts w:ascii="Times New Roman" w:hAnsi="Times New Roman" w:cs="Times New Roman"/>
          </w:rPr>
          <w:tag w:val="goog_rdk_5"/>
          <w:id w:val="1489131372"/>
        </w:sdtPr>
        <w:sdtContent>
          <w:commentRangeStart w:id="6"/>
        </w:sdtContent>
      </w:sdt>
      <w:r w:rsidRPr="00EA4C1F">
        <w:rPr>
          <w:rFonts w:ascii="Times New Roman" w:eastAsia="Times New Roman" w:hAnsi="Times New Roman" w:cs="Times New Roman"/>
          <w:sz w:val="24"/>
          <w:szCs w:val="24"/>
        </w:rPr>
        <w:t>con una base de</w:t>
      </w:r>
      <w:r w:rsidRPr="00EA4C1F">
        <w:rPr>
          <w:rFonts w:ascii="Times New Roman" w:eastAsia="Times New Roman" w:hAnsi="Times New Roman" w:cs="Times New Roman"/>
          <w:color w:val="EE0000"/>
          <w:sz w:val="24"/>
          <w:szCs w:val="24"/>
        </w:rPr>
        <w:t xml:space="preserve"> siniestros acumulados </w:t>
      </w:r>
      <w:r w:rsidRPr="00EA4C1F">
        <w:rPr>
          <w:rFonts w:ascii="Times New Roman" w:eastAsia="Times New Roman" w:hAnsi="Times New Roman" w:cs="Times New Roman"/>
          <w:sz w:val="24"/>
          <w:szCs w:val="24"/>
        </w:rPr>
        <w:t>de Responsabilidad Civil Automotor desde 2018, hasta 2024, publicado por</w:t>
      </w:r>
      <w:r w:rsidRPr="00EA4C1F">
        <w:rPr>
          <w:rFonts w:ascii="Times New Roman" w:eastAsia="Times New Roman" w:hAnsi="Times New Roman" w:cs="Times New Roman"/>
          <w:color w:val="EE0000"/>
          <w:sz w:val="24"/>
          <w:szCs w:val="24"/>
        </w:rPr>
        <w:t xml:space="preserve"> la Superintendencia de Seguros de la Nación.</w:t>
      </w:r>
      <w:commentRangeEnd w:id="2"/>
      <w:r w:rsidRPr="00EA4C1F">
        <w:rPr>
          <w:rFonts w:ascii="Times New Roman" w:hAnsi="Times New Roman" w:cs="Times New Roman"/>
        </w:rPr>
        <w:commentReference w:id="2"/>
      </w:r>
      <w:commentRangeEnd w:id="3"/>
      <w:r w:rsidRPr="00EA4C1F">
        <w:rPr>
          <w:rFonts w:ascii="Times New Roman" w:hAnsi="Times New Roman" w:cs="Times New Roman"/>
        </w:rPr>
        <w:commentReference w:id="3"/>
      </w:r>
      <w:commentRangeEnd w:id="4"/>
      <w:r w:rsidRPr="00EA4C1F">
        <w:rPr>
          <w:rFonts w:ascii="Times New Roman" w:hAnsi="Times New Roman" w:cs="Times New Roman"/>
        </w:rPr>
        <w:commentReference w:id="4"/>
      </w:r>
      <w:commentRangeEnd w:id="5"/>
      <w:r w:rsidRPr="00EA4C1F">
        <w:rPr>
          <w:rFonts w:ascii="Times New Roman" w:hAnsi="Times New Roman" w:cs="Times New Roman"/>
        </w:rPr>
        <w:commentReference w:id="5"/>
      </w:r>
      <w:commentRangeEnd w:id="6"/>
      <w:r w:rsidRPr="00EA4C1F">
        <w:rPr>
          <w:rFonts w:ascii="Times New Roman" w:hAnsi="Times New Roman" w:cs="Times New Roman"/>
        </w:rPr>
        <w:commentReference w:id="6"/>
      </w:r>
    </w:p>
    <w:p w14:paraId="00000012" w14:textId="77777777" w:rsidR="00E6009A" w:rsidRPr="00EA4C1F" w:rsidRDefault="00000000" w:rsidP="00EA4C1F">
      <w:p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Esto se llevó a cabo mediante la comparación de distintas medidas de riesgo resultantes tanto del cálculo de las reservas por IBNR como su representación en el patrimonio de una empresa aseguradora.</w:t>
      </w:r>
    </w:p>
    <w:p w14:paraId="00000013" w14:textId="77777777" w:rsidR="00E6009A" w:rsidRPr="00EA4C1F" w:rsidRDefault="00000000" w:rsidP="00EA4C1F">
      <w:p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Como inicio del trabajo de investigación, se desarrolla un “Marco Teórico”, en el cual se describe el contexto estadístico y normativo dentro del cual se desarrolla este estudio, su importancia y su relación con el Mercado Asegurador Argentino. </w:t>
      </w:r>
    </w:p>
    <w:p w14:paraId="00000014" w14:textId="77777777" w:rsidR="00E6009A" w:rsidRPr="00EA4C1F" w:rsidRDefault="00000000" w:rsidP="00EA4C1F">
      <w:p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Los modelos y supuestos considerados se encuentran en el “Marco Metodológico”, donde se detallan las técnicas empleadas para el cálculo del IBNR bajo ambos marcos normativos. Se incluyen los métodos determinísticos</w:t>
      </w:r>
      <w:sdt>
        <w:sdtPr>
          <w:rPr>
            <w:rFonts w:ascii="Times New Roman" w:hAnsi="Times New Roman" w:cs="Times New Roman"/>
          </w:rPr>
          <w:tag w:val="goog_rdk_6"/>
          <w:id w:val="194350367"/>
        </w:sdtPr>
        <w:sdtContent>
          <w:commentRangeStart w:id="7"/>
        </w:sdtContent>
      </w:sdt>
      <w:r w:rsidRPr="00EA4C1F">
        <w:rPr>
          <w:rFonts w:ascii="Times New Roman" w:eastAsia="Times New Roman" w:hAnsi="Times New Roman" w:cs="Times New Roman"/>
          <w:sz w:val="24"/>
          <w:szCs w:val="24"/>
        </w:rPr>
        <w:t>, junto con modelos estocásticos</w:t>
      </w:r>
      <w:commentRangeEnd w:id="7"/>
      <w:r w:rsidRPr="00EA4C1F">
        <w:rPr>
          <w:rFonts w:ascii="Times New Roman" w:hAnsi="Times New Roman" w:cs="Times New Roman"/>
        </w:rPr>
        <w:commentReference w:id="7"/>
      </w:r>
      <w:r w:rsidRPr="00EA4C1F">
        <w:rPr>
          <w:rFonts w:ascii="Times New Roman" w:eastAsia="Times New Roman" w:hAnsi="Times New Roman" w:cs="Times New Roman"/>
          <w:sz w:val="24"/>
          <w:szCs w:val="24"/>
        </w:rPr>
        <w:t xml:space="preserve"> consistentes con los </w:t>
      </w:r>
      <w:r w:rsidRPr="00EA4C1F">
        <w:rPr>
          <w:rFonts w:ascii="Times New Roman" w:eastAsia="Times New Roman" w:hAnsi="Times New Roman" w:cs="Times New Roman"/>
          <w:sz w:val="24"/>
          <w:szCs w:val="24"/>
        </w:rPr>
        <w:lastRenderedPageBreak/>
        <w:t>lineamientos de las IFRS 17. Además, se expone el procedimiento de ajuste de los datos por inflación utilizando el índice FACPCE, con el fin de expresar todos los valores en términos reales.</w:t>
      </w:r>
    </w:p>
    <w:p w14:paraId="00000015" w14:textId="77777777" w:rsidR="00E6009A" w:rsidRPr="00EA4C1F" w:rsidRDefault="00E6009A" w:rsidP="00EA4C1F">
      <w:pPr>
        <w:spacing w:after="0" w:line="480" w:lineRule="auto"/>
        <w:jc w:val="both"/>
        <w:rPr>
          <w:rFonts w:ascii="Times New Roman" w:eastAsia="Times New Roman" w:hAnsi="Times New Roman" w:cs="Times New Roman"/>
          <w:sz w:val="24"/>
          <w:szCs w:val="24"/>
        </w:rPr>
      </w:pPr>
    </w:p>
    <w:p w14:paraId="00000016" w14:textId="77777777" w:rsidR="00E6009A" w:rsidRPr="00EA4C1F" w:rsidRDefault="00E6009A" w:rsidP="00EA4C1F">
      <w:pPr>
        <w:spacing w:after="0" w:line="480" w:lineRule="auto"/>
        <w:jc w:val="both"/>
        <w:rPr>
          <w:rFonts w:ascii="Times New Roman" w:eastAsia="Times New Roman" w:hAnsi="Times New Roman" w:cs="Times New Roman"/>
          <w:sz w:val="24"/>
          <w:szCs w:val="24"/>
        </w:rPr>
      </w:pPr>
    </w:p>
    <w:p w14:paraId="00000017" w14:textId="77777777" w:rsidR="00E6009A" w:rsidRPr="00EA4C1F" w:rsidRDefault="00E6009A" w:rsidP="00EA4C1F">
      <w:pPr>
        <w:spacing w:after="0" w:line="480" w:lineRule="auto"/>
        <w:jc w:val="both"/>
        <w:rPr>
          <w:rFonts w:ascii="Times New Roman" w:eastAsia="Times New Roman" w:hAnsi="Times New Roman" w:cs="Times New Roman"/>
          <w:sz w:val="24"/>
          <w:szCs w:val="24"/>
        </w:rPr>
      </w:pPr>
    </w:p>
    <w:p w14:paraId="00000018" w14:textId="77777777" w:rsidR="00E6009A" w:rsidRPr="00EA4C1F" w:rsidRDefault="00E6009A" w:rsidP="00EA4C1F">
      <w:pPr>
        <w:spacing w:after="0" w:line="480" w:lineRule="auto"/>
        <w:jc w:val="both"/>
        <w:rPr>
          <w:rFonts w:ascii="Times New Roman" w:eastAsia="Times New Roman" w:hAnsi="Times New Roman" w:cs="Times New Roman"/>
          <w:sz w:val="24"/>
          <w:szCs w:val="24"/>
        </w:rPr>
      </w:pPr>
    </w:p>
    <w:p w14:paraId="00000019" w14:textId="77777777" w:rsidR="00E6009A" w:rsidRPr="00EA4C1F" w:rsidRDefault="00E6009A" w:rsidP="00EA4C1F">
      <w:pPr>
        <w:spacing w:after="0" w:line="480" w:lineRule="auto"/>
        <w:jc w:val="both"/>
        <w:rPr>
          <w:rFonts w:ascii="Times New Roman" w:eastAsia="Times New Roman" w:hAnsi="Times New Roman" w:cs="Times New Roman"/>
          <w:sz w:val="24"/>
          <w:szCs w:val="24"/>
        </w:rPr>
      </w:pPr>
    </w:p>
    <w:p w14:paraId="0000001A" w14:textId="77777777" w:rsidR="00E6009A" w:rsidRPr="00EA4C1F" w:rsidRDefault="00E6009A" w:rsidP="00EA4C1F">
      <w:pPr>
        <w:spacing w:after="0" w:line="480" w:lineRule="auto"/>
        <w:jc w:val="both"/>
        <w:rPr>
          <w:rFonts w:ascii="Times New Roman" w:eastAsia="Times New Roman" w:hAnsi="Times New Roman" w:cs="Times New Roman"/>
          <w:sz w:val="24"/>
          <w:szCs w:val="24"/>
        </w:rPr>
      </w:pPr>
    </w:p>
    <w:p w14:paraId="0000001B" w14:textId="77777777" w:rsidR="00E6009A" w:rsidRPr="00EA4C1F" w:rsidRDefault="00E6009A" w:rsidP="00EA4C1F">
      <w:pPr>
        <w:spacing w:after="0" w:line="480" w:lineRule="auto"/>
        <w:jc w:val="both"/>
        <w:rPr>
          <w:rFonts w:ascii="Times New Roman" w:eastAsia="Times New Roman" w:hAnsi="Times New Roman" w:cs="Times New Roman"/>
          <w:sz w:val="24"/>
          <w:szCs w:val="24"/>
        </w:rPr>
      </w:pPr>
    </w:p>
    <w:p w14:paraId="0000001C" w14:textId="77777777" w:rsidR="00E6009A" w:rsidRPr="00EA4C1F" w:rsidRDefault="00E6009A" w:rsidP="00EA4C1F">
      <w:pPr>
        <w:spacing w:after="0" w:line="480" w:lineRule="auto"/>
        <w:jc w:val="both"/>
        <w:rPr>
          <w:rFonts w:ascii="Times New Roman" w:eastAsia="Times New Roman" w:hAnsi="Times New Roman" w:cs="Times New Roman"/>
          <w:sz w:val="24"/>
          <w:szCs w:val="24"/>
        </w:rPr>
      </w:pPr>
    </w:p>
    <w:p w14:paraId="0000001D" w14:textId="77777777" w:rsidR="00E6009A" w:rsidRPr="00EA4C1F" w:rsidRDefault="00E6009A" w:rsidP="00EA4C1F">
      <w:pPr>
        <w:spacing w:after="0" w:line="480" w:lineRule="auto"/>
        <w:jc w:val="both"/>
        <w:rPr>
          <w:rFonts w:ascii="Times New Roman" w:eastAsia="Times New Roman" w:hAnsi="Times New Roman" w:cs="Times New Roman"/>
          <w:sz w:val="24"/>
          <w:szCs w:val="24"/>
        </w:rPr>
      </w:pPr>
    </w:p>
    <w:p w14:paraId="0000001E" w14:textId="77777777" w:rsidR="00E6009A" w:rsidRPr="00EA4C1F" w:rsidRDefault="00E6009A" w:rsidP="00EA4C1F">
      <w:pPr>
        <w:spacing w:after="0" w:line="480" w:lineRule="auto"/>
        <w:jc w:val="both"/>
        <w:rPr>
          <w:rFonts w:ascii="Times New Roman" w:eastAsia="Times New Roman" w:hAnsi="Times New Roman" w:cs="Times New Roman"/>
          <w:sz w:val="24"/>
          <w:szCs w:val="24"/>
        </w:rPr>
      </w:pPr>
    </w:p>
    <w:p w14:paraId="0000001F" w14:textId="77777777" w:rsidR="00E6009A" w:rsidRPr="00EA4C1F" w:rsidRDefault="00E6009A" w:rsidP="00EA4C1F">
      <w:pPr>
        <w:spacing w:after="0" w:line="480" w:lineRule="auto"/>
        <w:jc w:val="both"/>
        <w:rPr>
          <w:rFonts w:ascii="Times New Roman" w:eastAsia="Times New Roman" w:hAnsi="Times New Roman" w:cs="Times New Roman"/>
          <w:sz w:val="24"/>
          <w:szCs w:val="24"/>
        </w:rPr>
      </w:pPr>
    </w:p>
    <w:p w14:paraId="00000020" w14:textId="77777777" w:rsidR="00E6009A" w:rsidRPr="00EA4C1F" w:rsidRDefault="00E6009A" w:rsidP="00EA4C1F">
      <w:pPr>
        <w:spacing w:after="0" w:line="480" w:lineRule="auto"/>
        <w:jc w:val="both"/>
        <w:rPr>
          <w:rFonts w:ascii="Times New Roman" w:eastAsia="Times New Roman" w:hAnsi="Times New Roman" w:cs="Times New Roman"/>
          <w:sz w:val="24"/>
          <w:szCs w:val="24"/>
        </w:rPr>
      </w:pPr>
    </w:p>
    <w:p w14:paraId="00000021" w14:textId="77777777" w:rsidR="00E6009A" w:rsidRPr="00EA4C1F" w:rsidRDefault="00E6009A" w:rsidP="00EA4C1F">
      <w:pPr>
        <w:spacing w:after="0" w:line="480" w:lineRule="auto"/>
        <w:jc w:val="both"/>
        <w:rPr>
          <w:rFonts w:ascii="Times New Roman" w:eastAsia="Times New Roman" w:hAnsi="Times New Roman" w:cs="Times New Roman"/>
          <w:sz w:val="24"/>
          <w:szCs w:val="24"/>
        </w:rPr>
      </w:pPr>
    </w:p>
    <w:p w14:paraId="00000022" w14:textId="77777777" w:rsidR="00E6009A" w:rsidRPr="00EA4C1F" w:rsidRDefault="00E6009A" w:rsidP="00EA4C1F">
      <w:pPr>
        <w:spacing w:after="0" w:line="480" w:lineRule="auto"/>
        <w:jc w:val="both"/>
        <w:rPr>
          <w:rFonts w:ascii="Times New Roman" w:eastAsia="Times New Roman" w:hAnsi="Times New Roman" w:cs="Times New Roman"/>
          <w:sz w:val="24"/>
          <w:szCs w:val="24"/>
        </w:rPr>
      </w:pPr>
    </w:p>
    <w:p w14:paraId="00000023" w14:textId="77777777" w:rsidR="00E6009A" w:rsidRPr="00EA4C1F" w:rsidRDefault="00E6009A" w:rsidP="00EA4C1F">
      <w:pPr>
        <w:spacing w:after="0" w:line="480" w:lineRule="auto"/>
        <w:jc w:val="both"/>
        <w:rPr>
          <w:rFonts w:ascii="Times New Roman" w:eastAsia="Times New Roman" w:hAnsi="Times New Roman" w:cs="Times New Roman"/>
          <w:sz w:val="24"/>
          <w:szCs w:val="24"/>
        </w:rPr>
      </w:pPr>
    </w:p>
    <w:p w14:paraId="00000024" w14:textId="77777777" w:rsidR="00E6009A" w:rsidRPr="00EA4C1F" w:rsidRDefault="00E6009A" w:rsidP="00EA4C1F">
      <w:pPr>
        <w:spacing w:after="0" w:line="480" w:lineRule="auto"/>
        <w:jc w:val="both"/>
        <w:rPr>
          <w:rFonts w:ascii="Times New Roman" w:eastAsia="Times New Roman" w:hAnsi="Times New Roman" w:cs="Times New Roman"/>
          <w:sz w:val="24"/>
          <w:szCs w:val="24"/>
        </w:rPr>
      </w:pPr>
    </w:p>
    <w:p w14:paraId="00000025" w14:textId="77777777" w:rsidR="00E6009A" w:rsidRPr="00EA4C1F" w:rsidRDefault="00E6009A" w:rsidP="00EA4C1F">
      <w:pPr>
        <w:spacing w:after="0" w:line="480" w:lineRule="auto"/>
        <w:jc w:val="both"/>
        <w:rPr>
          <w:rFonts w:ascii="Times New Roman" w:eastAsia="Times New Roman" w:hAnsi="Times New Roman" w:cs="Times New Roman"/>
          <w:sz w:val="24"/>
          <w:szCs w:val="24"/>
        </w:rPr>
      </w:pPr>
    </w:p>
    <w:p w14:paraId="00000026" w14:textId="77777777" w:rsidR="00E6009A" w:rsidRPr="00EA4C1F" w:rsidRDefault="00E6009A" w:rsidP="00EA4C1F">
      <w:pPr>
        <w:spacing w:after="0" w:line="480" w:lineRule="auto"/>
        <w:jc w:val="both"/>
        <w:rPr>
          <w:rFonts w:ascii="Times New Roman" w:eastAsia="Times New Roman" w:hAnsi="Times New Roman" w:cs="Times New Roman"/>
          <w:sz w:val="24"/>
          <w:szCs w:val="24"/>
        </w:rPr>
      </w:pPr>
    </w:p>
    <w:p w14:paraId="00000027" w14:textId="77777777" w:rsidR="00E6009A" w:rsidRPr="00EA4C1F" w:rsidRDefault="00E6009A" w:rsidP="00EA4C1F">
      <w:pPr>
        <w:spacing w:after="0" w:line="480" w:lineRule="auto"/>
        <w:jc w:val="both"/>
        <w:rPr>
          <w:rFonts w:ascii="Times New Roman" w:eastAsia="Times New Roman" w:hAnsi="Times New Roman" w:cs="Times New Roman"/>
          <w:sz w:val="24"/>
          <w:szCs w:val="24"/>
        </w:rPr>
      </w:pPr>
    </w:p>
    <w:p w14:paraId="00000028" w14:textId="77777777" w:rsidR="00E6009A" w:rsidRPr="00EA4C1F" w:rsidRDefault="00E6009A" w:rsidP="00EA4C1F">
      <w:pPr>
        <w:spacing w:after="0" w:line="480" w:lineRule="auto"/>
        <w:jc w:val="both"/>
        <w:rPr>
          <w:rFonts w:ascii="Times New Roman" w:eastAsia="Times New Roman" w:hAnsi="Times New Roman" w:cs="Times New Roman"/>
          <w:sz w:val="24"/>
          <w:szCs w:val="24"/>
        </w:rPr>
      </w:pPr>
    </w:p>
    <w:p w14:paraId="00000029" w14:textId="77777777" w:rsidR="00E6009A" w:rsidRPr="00EA4C1F" w:rsidRDefault="00000000" w:rsidP="00EA4C1F">
      <w:pPr>
        <w:keepNext/>
        <w:keepLines/>
        <w:pBdr>
          <w:top w:val="nil"/>
          <w:left w:val="nil"/>
          <w:bottom w:val="nil"/>
          <w:right w:val="nil"/>
          <w:between w:val="nil"/>
        </w:pBdr>
        <w:spacing w:after="0" w:line="480" w:lineRule="auto"/>
        <w:jc w:val="both"/>
        <w:rPr>
          <w:rFonts w:ascii="Times New Roman" w:eastAsia="Times New Roman" w:hAnsi="Times New Roman" w:cs="Times New Roman"/>
          <w:color w:val="0F4761"/>
          <w:sz w:val="32"/>
          <w:szCs w:val="32"/>
        </w:rPr>
      </w:pPr>
      <w:proofErr w:type="spellStart"/>
      <w:r w:rsidRPr="00EA4C1F">
        <w:rPr>
          <w:rFonts w:ascii="Times New Roman" w:eastAsia="Times New Roman" w:hAnsi="Times New Roman" w:cs="Times New Roman"/>
          <w:color w:val="0F4761"/>
          <w:sz w:val="32"/>
          <w:szCs w:val="32"/>
        </w:rPr>
        <w:lastRenderedPageBreak/>
        <w:t>Contents</w:t>
      </w:r>
      <w:proofErr w:type="spellEnd"/>
    </w:p>
    <w:sdt>
      <w:sdtPr>
        <w:rPr>
          <w:rFonts w:ascii="Times New Roman" w:hAnsi="Times New Roman" w:cs="Times New Roman"/>
        </w:rPr>
        <w:id w:val="1972037841"/>
        <w:docPartObj>
          <w:docPartGallery w:val="Table of Contents"/>
          <w:docPartUnique/>
        </w:docPartObj>
      </w:sdtPr>
      <w:sdtContent>
        <w:p w14:paraId="0000002A" w14:textId="77777777" w:rsidR="00E6009A" w:rsidRPr="00EA4C1F" w:rsidRDefault="00000000" w:rsidP="00EA4C1F">
          <w:pPr>
            <w:widowControl w:val="0"/>
            <w:tabs>
              <w:tab w:val="right" w:leader="dot" w:pos="12000"/>
            </w:tabs>
            <w:spacing w:before="60" w:after="0" w:line="240" w:lineRule="auto"/>
            <w:jc w:val="both"/>
            <w:rPr>
              <w:rFonts w:ascii="Times New Roman" w:eastAsia="Arial" w:hAnsi="Times New Roman" w:cs="Times New Roman"/>
              <w:b/>
              <w:bCs/>
              <w:color w:val="000000"/>
            </w:rPr>
          </w:pPr>
          <w:r w:rsidRPr="00EA4C1F">
            <w:rPr>
              <w:rFonts w:ascii="Times New Roman" w:hAnsi="Times New Roman" w:cs="Times New Roman"/>
            </w:rPr>
            <w:fldChar w:fldCharType="begin"/>
          </w:r>
          <w:r w:rsidRPr="00EA4C1F">
            <w:rPr>
              <w:rFonts w:ascii="Times New Roman" w:hAnsi="Times New Roman" w:cs="Times New Roman"/>
            </w:rPr>
            <w:instrText xml:space="preserve"> TOC \h \u \z \t "Heading 1,1,Heading 2,2,Heading 3,3,Heading 4,4,Heading 5,5,Heading 6,6,"</w:instrText>
          </w:r>
          <w:r w:rsidRPr="00EA4C1F">
            <w:rPr>
              <w:rFonts w:ascii="Times New Roman" w:hAnsi="Times New Roman" w:cs="Times New Roman"/>
            </w:rPr>
            <w:fldChar w:fldCharType="separate"/>
          </w:r>
          <w:hyperlink w:anchor="_heading=h.k70h4fsukjau">
            <w:r w:rsidRPr="00EA4C1F">
              <w:rPr>
                <w:rFonts w:ascii="Times New Roman" w:eastAsia="Times New Roman" w:hAnsi="Times New Roman" w:cs="Times New Roman"/>
                <w:b/>
                <w:bCs/>
                <w:color w:val="000000"/>
              </w:rPr>
              <w:t>Resumen</w:t>
            </w:r>
            <w:r w:rsidRPr="00EA4C1F">
              <w:rPr>
                <w:rFonts w:ascii="Times New Roman" w:eastAsia="Times New Roman" w:hAnsi="Times New Roman" w:cs="Times New Roman"/>
                <w:b/>
                <w:bCs/>
                <w:color w:val="000000"/>
              </w:rPr>
              <w:tab/>
              <w:t>2</w:t>
            </w:r>
          </w:hyperlink>
        </w:p>
        <w:p w14:paraId="0000002B" w14:textId="77777777" w:rsidR="00E6009A" w:rsidRPr="00EA4C1F" w:rsidRDefault="00000000" w:rsidP="00EA4C1F">
          <w:pPr>
            <w:widowControl w:val="0"/>
            <w:tabs>
              <w:tab w:val="right" w:leader="dot" w:pos="12000"/>
            </w:tabs>
            <w:spacing w:before="60" w:after="0" w:line="240" w:lineRule="auto"/>
            <w:jc w:val="both"/>
            <w:rPr>
              <w:rFonts w:ascii="Times New Roman" w:eastAsia="Arial" w:hAnsi="Times New Roman" w:cs="Times New Roman"/>
              <w:b/>
              <w:bCs/>
              <w:color w:val="000000"/>
            </w:rPr>
          </w:pPr>
          <w:hyperlink w:anchor="_heading=h.wrc9pdjn8yos">
            <w:r w:rsidRPr="00EA4C1F">
              <w:rPr>
                <w:rFonts w:ascii="Times New Roman" w:eastAsia="Times New Roman" w:hAnsi="Times New Roman" w:cs="Times New Roman"/>
                <w:b/>
                <w:bCs/>
                <w:color w:val="000000"/>
              </w:rPr>
              <w:t>1. Glosario</w:t>
            </w:r>
            <w:r w:rsidRPr="00EA4C1F">
              <w:rPr>
                <w:rFonts w:ascii="Times New Roman" w:eastAsia="Times New Roman" w:hAnsi="Times New Roman" w:cs="Times New Roman"/>
                <w:b/>
                <w:bCs/>
                <w:color w:val="000000"/>
              </w:rPr>
              <w:tab/>
              <w:t>5</w:t>
            </w:r>
          </w:hyperlink>
        </w:p>
        <w:p w14:paraId="0000002C" w14:textId="77777777" w:rsidR="00E6009A" w:rsidRPr="00EA4C1F" w:rsidRDefault="00000000" w:rsidP="00EA4C1F">
          <w:pPr>
            <w:widowControl w:val="0"/>
            <w:tabs>
              <w:tab w:val="right" w:leader="dot" w:pos="12000"/>
            </w:tabs>
            <w:spacing w:before="60" w:after="0" w:line="240" w:lineRule="auto"/>
            <w:jc w:val="both"/>
            <w:rPr>
              <w:rFonts w:ascii="Times New Roman" w:eastAsia="Arial" w:hAnsi="Times New Roman" w:cs="Times New Roman"/>
              <w:b/>
              <w:bCs/>
              <w:color w:val="000000"/>
            </w:rPr>
          </w:pPr>
          <w:hyperlink w:anchor="_heading=h.yfrph9brfnis">
            <w:r w:rsidRPr="00EA4C1F">
              <w:rPr>
                <w:rFonts w:ascii="Times New Roman" w:eastAsia="Times New Roman" w:hAnsi="Times New Roman" w:cs="Times New Roman"/>
                <w:b/>
                <w:bCs/>
                <w:color w:val="000000"/>
              </w:rPr>
              <w:t>2. Introducción</w:t>
            </w:r>
            <w:r w:rsidRPr="00EA4C1F">
              <w:rPr>
                <w:rFonts w:ascii="Times New Roman" w:eastAsia="Times New Roman" w:hAnsi="Times New Roman" w:cs="Times New Roman"/>
                <w:b/>
                <w:bCs/>
                <w:color w:val="000000"/>
              </w:rPr>
              <w:tab/>
              <w:t>5</w:t>
            </w:r>
          </w:hyperlink>
        </w:p>
        <w:p w14:paraId="0000002D" w14:textId="77777777" w:rsidR="00E6009A" w:rsidRPr="00EA4C1F" w:rsidRDefault="00000000" w:rsidP="00EA4C1F">
          <w:pPr>
            <w:widowControl w:val="0"/>
            <w:tabs>
              <w:tab w:val="right" w:leader="dot" w:pos="12000"/>
            </w:tabs>
            <w:spacing w:before="60" w:after="0" w:line="240" w:lineRule="auto"/>
            <w:jc w:val="both"/>
            <w:rPr>
              <w:rFonts w:ascii="Times New Roman" w:eastAsia="Arial" w:hAnsi="Times New Roman" w:cs="Times New Roman"/>
              <w:b/>
              <w:bCs/>
              <w:color w:val="000000"/>
            </w:rPr>
          </w:pPr>
          <w:hyperlink w:anchor="_heading=h.lr0bls8u57fz">
            <w:r w:rsidRPr="00EA4C1F">
              <w:rPr>
                <w:rFonts w:ascii="Times New Roman" w:eastAsia="Times New Roman" w:hAnsi="Times New Roman" w:cs="Times New Roman"/>
                <w:b/>
                <w:bCs/>
                <w:color w:val="000000"/>
              </w:rPr>
              <w:t>3. Objetivo</w:t>
            </w:r>
            <w:r w:rsidRPr="00EA4C1F">
              <w:rPr>
                <w:rFonts w:ascii="Times New Roman" w:eastAsia="Times New Roman" w:hAnsi="Times New Roman" w:cs="Times New Roman"/>
                <w:b/>
                <w:bCs/>
                <w:color w:val="000000"/>
              </w:rPr>
              <w:tab/>
              <w:t>6</w:t>
            </w:r>
          </w:hyperlink>
        </w:p>
        <w:p w14:paraId="0000002E" w14:textId="77777777" w:rsidR="00E6009A" w:rsidRPr="00EA4C1F" w:rsidRDefault="00000000" w:rsidP="00EA4C1F">
          <w:pPr>
            <w:widowControl w:val="0"/>
            <w:tabs>
              <w:tab w:val="right" w:leader="dot" w:pos="12000"/>
            </w:tabs>
            <w:spacing w:before="60" w:after="0" w:line="240" w:lineRule="auto"/>
            <w:jc w:val="both"/>
            <w:rPr>
              <w:rFonts w:ascii="Times New Roman" w:eastAsia="Arial" w:hAnsi="Times New Roman" w:cs="Times New Roman"/>
              <w:b/>
              <w:bCs/>
              <w:color w:val="000000"/>
            </w:rPr>
          </w:pPr>
          <w:hyperlink w:anchor="_heading=h.an7rhb3ea8nd">
            <w:r w:rsidRPr="00EA4C1F">
              <w:rPr>
                <w:rFonts w:ascii="Times New Roman" w:eastAsia="Times New Roman" w:hAnsi="Times New Roman" w:cs="Times New Roman"/>
                <w:b/>
                <w:bCs/>
                <w:color w:val="000000"/>
              </w:rPr>
              <w:t>4. Hipótesis</w:t>
            </w:r>
            <w:r w:rsidRPr="00EA4C1F">
              <w:rPr>
                <w:rFonts w:ascii="Times New Roman" w:eastAsia="Times New Roman" w:hAnsi="Times New Roman" w:cs="Times New Roman"/>
                <w:b/>
                <w:bCs/>
                <w:color w:val="000000"/>
              </w:rPr>
              <w:tab/>
              <w:t>7</w:t>
            </w:r>
          </w:hyperlink>
        </w:p>
        <w:p w14:paraId="0000002F" w14:textId="77777777" w:rsidR="00E6009A" w:rsidRPr="00EA4C1F" w:rsidRDefault="00000000" w:rsidP="00EA4C1F">
          <w:pPr>
            <w:widowControl w:val="0"/>
            <w:tabs>
              <w:tab w:val="right" w:leader="dot" w:pos="12000"/>
            </w:tabs>
            <w:spacing w:before="60" w:after="0" w:line="240" w:lineRule="auto"/>
            <w:jc w:val="both"/>
            <w:rPr>
              <w:rFonts w:ascii="Times New Roman" w:eastAsia="Arial" w:hAnsi="Times New Roman" w:cs="Times New Roman"/>
              <w:b/>
              <w:bCs/>
              <w:color w:val="000000"/>
            </w:rPr>
          </w:pPr>
          <w:hyperlink w:anchor="_heading=h.1ch0m7hzxzdt">
            <w:r w:rsidRPr="00EA4C1F">
              <w:rPr>
                <w:rFonts w:ascii="Times New Roman" w:eastAsia="Times New Roman" w:hAnsi="Times New Roman" w:cs="Times New Roman"/>
                <w:b/>
                <w:bCs/>
                <w:color w:val="000000"/>
              </w:rPr>
              <w:t>5. Marco Teórico</w:t>
            </w:r>
            <w:r w:rsidRPr="00EA4C1F">
              <w:rPr>
                <w:rFonts w:ascii="Times New Roman" w:eastAsia="Times New Roman" w:hAnsi="Times New Roman" w:cs="Times New Roman"/>
                <w:b/>
                <w:bCs/>
                <w:color w:val="000000"/>
              </w:rPr>
              <w:tab/>
              <w:t>7</w:t>
            </w:r>
          </w:hyperlink>
        </w:p>
        <w:p w14:paraId="00000030" w14:textId="77777777" w:rsidR="00E6009A" w:rsidRPr="00EA4C1F" w:rsidRDefault="00000000" w:rsidP="00EA4C1F">
          <w:pPr>
            <w:widowControl w:val="0"/>
            <w:tabs>
              <w:tab w:val="right" w:leader="dot" w:pos="12000"/>
            </w:tabs>
            <w:spacing w:before="60" w:after="0" w:line="240" w:lineRule="auto"/>
            <w:jc w:val="both"/>
            <w:rPr>
              <w:rFonts w:ascii="Times New Roman" w:eastAsia="Arial" w:hAnsi="Times New Roman" w:cs="Times New Roman"/>
              <w:b/>
              <w:bCs/>
              <w:color w:val="000000"/>
            </w:rPr>
          </w:pPr>
          <w:hyperlink w:anchor="_heading=h.54swck339zre">
            <w:r w:rsidRPr="00EA4C1F">
              <w:rPr>
                <w:rFonts w:ascii="Times New Roman" w:eastAsia="Arial" w:hAnsi="Times New Roman" w:cs="Times New Roman"/>
                <w:b/>
                <w:bCs/>
                <w:color w:val="000000"/>
              </w:rPr>
              <w:t>5.1. Definición de seguro</w:t>
            </w:r>
            <w:r w:rsidRPr="00EA4C1F">
              <w:rPr>
                <w:rFonts w:ascii="Times New Roman" w:eastAsia="Arial" w:hAnsi="Times New Roman" w:cs="Times New Roman"/>
                <w:b/>
                <w:bCs/>
                <w:color w:val="000000"/>
              </w:rPr>
              <w:tab/>
              <w:t>7</w:t>
            </w:r>
          </w:hyperlink>
        </w:p>
        <w:p w14:paraId="00000031" w14:textId="77777777" w:rsidR="00E6009A" w:rsidRPr="00EA4C1F" w:rsidRDefault="00000000" w:rsidP="00EA4C1F">
          <w:pPr>
            <w:widowControl w:val="0"/>
            <w:tabs>
              <w:tab w:val="right" w:leader="dot" w:pos="12000"/>
            </w:tabs>
            <w:spacing w:before="60" w:after="0" w:line="240" w:lineRule="auto"/>
            <w:ind w:left="360"/>
            <w:jc w:val="both"/>
            <w:rPr>
              <w:rFonts w:ascii="Times New Roman" w:eastAsia="Arial" w:hAnsi="Times New Roman" w:cs="Times New Roman"/>
              <w:color w:val="000000"/>
            </w:rPr>
          </w:pPr>
          <w:hyperlink w:anchor="_heading=h.ekeqssngm6ol">
            <w:r w:rsidRPr="00EA4C1F">
              <w:rPr>
                <w:rFonts w:ascii="Times New Roman" w:eastAsia="Times New Roman" w:hAnsi="Times New Roman" w:cs="Times New Roman"/>
                <w:color w:val="000000"/>
              </w:rPr>
              <w:t>5.2. Reservas técnicas</w:t>
            </w:r>
            <w:r w:rsidRPr="00EA4C1F">
              <w:rPr>
                <w:rFonts w:ascii="Times New Roman" w:eastAsia="Times New Roman" w:hAnsi="Times New Roman" w:cs="Times New Roman"/>
                <w:color w:val="000000"/>
              </w:rPr>
              <w:tab/>
              <w:t>9</w:t>
            </w:r>
          </w:hyperlink>
        </w:p>
        <w:p w14:paraId="00000032" w14:textId="77777777" w:rsidR="00E6009A" w:rsidRPr="00EA4C1F" w:rsidRDefault="00000000" w:rsidP="00EA4C1F">
          <w:pPr>
            <w:widowControl w:val="0"/>
            <w:tabs>
              <w:tab w:val="right" w:leader="dot" w:pos="12000"/>
            </w:tabs>
            <w:spacing w:before="60" w:after="0" w:line="240" w:lineRule="auto"/>
            <w:ind w:left="360"/>
            <w:jc w:val="both"/>
            <w:rPr>
              <w:rFonts w:ascii="Times New Roman" w:eastAsia="Arial" w:hAnsi="Times New Roman" w:cs="Times New Roman"/>
              <w:color w:val="000000"/>
            </w:rPr>
          </w:pPr>
          <w:hyperlink w:anchor="_heading=h.sywxxhemoed0">
            <w:r w:rsidRPr="00EA4C1F">
              <w:rPr>
                <w:rFonts w:ascii="Times New Roman" w:eastAsia="Times New Roman" w:hAnsi="Times New Roman" w:cs="Times New Roman"/>
                <w:color w:val="000000"/>
              </w:rPr>
              <w:t>5.3. Situación Actual del Mercado Asegurador</w:t>
            </w:r>
            <w:r w:rsidRPr="00EA4C1F">
              <w:rPr>
                <w:rFonts w:ascii="Times New Roman" w:eastAsia="Times New Roman" w:hAnsi="Times New Roman" w:cs="Times New Roman"/>
                <w:color w:val="000000"/>
              </w:rPr>
              <w:tab/>
              <w:t>10</w:t>
            </w:r>
          </w:hyperlink>
        </w:p>
        <w:p w14:paraId="00000033" w14:textId="77777777" w:rsidR="00E6009A" w:rsidRPr="00EA4C1F" w:rsidRDefault="00000000" w:rsidP="00EA4C1F">
          <w:pPr>
            <w:widowControl w:val="0"/>
            <w:tabs>
              <w:tab w:val="right" w:leader="dot" w:pos="12000"/>
            </w:tabs>
            <w:spacing w:before="60" w:after="0" w:line="240" w:lineRule="auto"/>
            <w:ind w:left="360"/>
            <w:jc w:val="both"/>
            <w:rPr>
              <w:rFonts w:ascii="Times New Roman" w:eastAsia="Arial" w:hAnsi="Times New Roman" w:cs="Times New Roman"/>
              <w:color w:val="000000"/>
            </w:rPr>
          </w:pPr>
          <w:hyperlink w:anchor="_heading=h.xzo283avbfv4">
            <w:r w:rsidRPr="00EA4C1F">
              <w:rPr>
                <w:rFonts w:ascii="Times New Roman" w:eastAsia="Times New Roman" w:hAnsi="Times New Roman" w:cs="Times New Roman"/>
                <w:color w:val="000000"/>
              </w:rPr>
              <w:t>5.4. Antecedentes de normativas locales</w:t>
            </w:r>
            <w:r w:rsidRPr="00EA4C1F">
              <w:rPr>
                <w:rFonts w:ascii="Times New Roman" w:eastAsia="Times New Roman" w:hAnsi="Times New Roman" w:cs="Times New Roman"/>
                <w:color w:val="000000"/>
              </w:rPr>
              <w:tab/>
              <w:t>12</w:t>
            </w:r>
          </w:hyperlink>
        </w:p>
        <w:p w14:paraId="00000034" w14:textId="77777777" w:rsidR="00E6009A" w:rsidRPr="00EA4C1F" w:rsidRDefault="00000000" w:rsidP="00EA4C1F">
          <w:pPr>
            <w:widowControl w:val="0"/>
            <w:tabs>
              <w:tab w:val="right" w:leader="dot" w:pos="12000"/>
            </w:tabs>
            <w:spacing w:before="60" w:after="0" w:line="240" w:lineRule="auto"/>
            <w:ind w:left="720"/>
            <w:jc w:val="both"/>
            <w:rPr>
              <w:rFonts w:ascii="Times New Roman" w:eastAsia="Arial" w:hAnsi="Times New Roman" w:cs="Times New Roman"/>
              <w:color w:val="000000"/>
            </w:rPr>
          </w:pPr>
          <w:hyperlink w:anchor="_heading=h.uwo62cs28k2d">
            <w:r w:rsidRPr="00EA4C1F">
              <w:rPr>
                <w:rFonts w:ascii="Times New Roman" w:eastAsia="Arial" w:hAnsi="Times New Roman" w:cs="Times New Roman"/>
                <w:color w:val="000000"/>
              </w:rPr>
              <w:t>5.4.1. Resolución 287/2025</w:t>
            </w:r>
            <w:r w:rsidRPr="00EA4C1F">
              <w:rPr>
                <w:rFonts w:ascii="Times New Roman" w:eastAsia="Arial" w:hAnsi="Times New Roman" w:cs="Times New Roman"/>
                <w:color w:val="000000"/>
              </w:rPr>
              <w:tab/>
              <w:t>12</w:t>
            </w:r>
          </w:hyperlink>
        </w:p>
        <w:p w14:paraId="00000035" w14:textId="77777777" w:rsidR="00E6009A" w:rsidRPr="00EA4C1F" w:rsidRDefault="00000000" w:rsidP="00EA4C1F">
          <w:pPr>
            <w:widowControl w:val="0"/>
            <w:tabs>
              <w:tab w:val="right" w:leader="dot" w:pos="12000"/>
            </w:tabs>
            <w:spacing w:before="60" w:after="0" w:line="240" w:lineRule="auto"/>
            <w:ind w:left="360"/>
            <w:jc w:val="both"/>
            <w:rPr>
              <w:rFonts w:ascii="Times New Roman" w:eastAsia="Arial" w:hAnsi="Times New Roman" w:cs="Times New Roman"/>
              <w:color w:val="000000"/>
            </w:rPr>
          </w:pPr>
          <w:hyperlink w:anchor="_heading=h.ggwtpwm0zqbj">
            <w:r w:rsidRPr="00EA4C1F">
              <w:rPr>
                <w:rFonts w:ascii="Times New Roman" w:eastAsia="Times New Roman" w:hAnsi="Times New Roman" w:cs="Times New Roman"/>
                <w:color w:val="000000"/>
              </w:rPr>
              <w:t>5.5. Antecedentes de normativas internacionales</w:t>
            </w:r>
            <w:r w:rsidRPr="00EA4C1F">
              <w:rPr>
                <w:rFonts w:ascii="Times New Roman" w:eastAsia="Times New Roman" w:hAnsi="Times New Roman" w:cs="Times New Roman"/>
                <w:color w:val="000000"/>
              </w:rPr>
              <w:tab/>
              <w:t>12</w:t>
            </w:r>
          </w:hyperlink>
        </w:p>
        <w:p w14:paraId="00000036" w14:textId="77777777" w:rsidR="00E6009A" w:rsidRPr="00EA4C1F" w:rsidRDefault="00000000" w:rsidP="00EA4C1F">
          <w:pPr>
            <w:widowControl w:val="0"/>
            <w:tabs>
              <w:tab w:val="right" w:leader="dot" w:pos="12000"/>
            </w:tabs>
            <w:spacing w:before="60" w:after="0" w:line="240" w:lineRule="auto"/>
            <w:ind w:left="720"/>
            <w:jc w:val="both"/>
            <w:rPr>
              <w:rFonts w:ascii="Times New Roman" w:eastAsia="Arial" w:hAnsi="Times New Roman" w:cs="Times New Roman"/>
              <w:color w:val="000000"/>
            </w:rPr>
          </w:pPr>
          <w:hyperlink w:anchor="_heading=h.829dexgve7j7">
            <w:r w:rsidRPr="00EA4C1F">
              <w:rPr>
                <w:rFonts w:ascii="Times New Roman" w:eastAsia="Times New Roman" w:hAnsi="Times New Roman" w:cs="Times New Roman"/>
                <w:color w:val="000000"/>
              </w:rPr>
              <w:t>5.5.1. IFRS 17</w:t>
            </w:r>
            <w:r w:rsidRPr="00EA4C1F">
              <w:rPr>
                <w:rFonts w:ascii="Times New Roman" w:eastAsia="Times New Roman" w:hAnsi="Times New Roman" w:cs="Times New Roman"/>
                <w:color w:val="000000"/>
              </w:rPr>
              <w:tab/>
              <w:t>13</w:t>
            </w:r>
          </w:hyperlink>
        </w:p>
        <w:p w14:paraId="00000037" w14:textId="77777777" w:rsidR="00E6009A" w:rsidRPr="00EA4C1F" w:rsidRDefault="00000000" w:rsidP="00EA4C1F">
          <w:pPr>
            <w:widowControl w:val="0"/>
            <w:tabs>
              <w:tab w:val="right" w:leader="dot" w:pos="12000"/>
            </w:tabs>
            <w:spacing w:before="60" w:after="0" w:line="240" w:lineRule="auto"/>
            <w:jc w:val="both"/>
            <w:rPr>
              <w:rFonts w:ascii="Times New Roman" w:eastAsia="Arial" w:hAnsi="Times New Roman" w:cs="Times New Roman"/>
              <w:b/>
              <w:bCs/>
              <w:color w:val="000000"/>
            </w:rPr>
          </w:pPr>
          <w:hyperlink w:anchor="_heading=h.tjxmpsn686xo">
            <w:r w:rsidRPr="00EA4C1F">
              <w:rPr>
                <w:rFonts w:ascii="Times New Roman" w:eastAsia="Times New Roman" w:hAnsi="Times New Roman" w:cs="Times New Roman"/>
                <w:b/>
                <w:bCs/>
                <w:color w:val="000000"/>
              </w:rPr>
              <w:t>6. Marco Metodológico</w:t>
            </w:r>
            <w:r w:rsidRPr="00EA4C1F">
              <w:rPr>
                <w:rFonts w:ascii="Times New Roman" w:eastAsia="Times New Roman" w:hAnsi="Times New Roman" w:cs="Times New Roman"/>
                <w:b/>
                <w:bCs/>
                <w:color w:val="000000"/>
              </w:rPr>
              <w:tab/>
              <w:t>15</w:t>
            </w:r>
          </w:hyperlink>
        </w:p>
        <w:p w14:paraId="00000038" w14:textId="77777777" w:rsidR="00E6009A" w:rsidRPr="00EA4C1F" w:rsidRDefault="00000000" w:rsidP="00EA4C1F">
          <w:pPr>
            <w:widowControl w:val="0"/>
            <w:tabs>
              <w:tab w:val="right" w:leader="dot" w:pos="12000"/>
            </w:tabs>
            <w:spacing w:before="60" w:after="0" w:line="240" w:lineRule="auto"/>
            <w:jc w:val="both"/>
            <w:rPr>
              <w:rFonts w:ascii="Times New Roman" w:eastAsia="Arial" w:hAnsi="Times New Roman" w:cs="Times New Roman"/>
              <w:b/>
              <w:bCs/>
              <w:color w:val="000000"/>
            </w:rPr>
          </w:pPr>
          <w:hyperlink w:anchor="_heading=h.bh6f32adzh3g">
            <w:r w:rsidRPr="00EA4C1F">
              <w:rPr>
                <w:rFonts w:ascii="Times New Roman" w:eastAsia="Arial" w:hAnsi="Times New Roman" w:cs="Times New Roman"/>
                <w:b/>
                <w:bCs/>
                <w:color w:val="000000"/>
              </w:rPr>
              <w:t>6.1. Base de Datos</w:t>
            </w:r>
            <w:r w:rsidRPr="00EA4C1F">
              <w:rPr>
                <w:rFonts w:ascii="Times New Roman" w:eastAsia="Arial" w:hAnsi="Times New Roman" w:cs="Times New Roman"/>
                <w:b/>
                <w:bCs/>
                <w:color w:val="000000"/>
              </w:rPr>
              <w:tab/>
              <w:t>15</w:t>
            </w:r>
          </w:hyperlink>
        </w:p>
        <w:p w14:paraId="00000039" w14:textId="77777777" w:rsidR="00E6009A" w:rsidRPr="00EA4C1F" w:rsidRDefault="00000000" w:rsidP="00EA4C1F">
          <w:pPr>
            <w:widowControl w:val="0"/>
            <w:tabs>
              <w:tab w:val="right" w:leader="dot" w:pos="12000"/>
            </w:tabs>
            <w:spacing w:before="60" w:after="0" w:line="240" w:lineRule="auto"/>
            <w:jc w:val="both"/>
            <w:rPr>
              <w:rFonts w:ascii="Times New Roman" w:eastAsia="Arial" w:hAnsi="Times New Roman" w:cs="Times New Roman"/>
              <w:b/>
              <w:bCs/>
              <w:color w:val="000000"/>
            </w:rPr>
          </w:pPr>
          <w:hyperlink w:anchor="_heading=h.al69yks4jw3j">
            <w:r w:rsidRPr="00EA4C1F">
              <w:rPr>
                <w:rFonts w:ascii="Times New Roman" w:eastAsia="Arial" w:hAnsi="Times New Roman" w:cs="Times New Roman"/>
                <w:b/>
                <w:bCs/>
                <w:color w:val="000000"/>
              </w:rPr>
              <w:t>6.1.1. Base de Siniestros</w:t>
            </w:r>
            <w:r w:rsidRPr="00EA4C1F">
              <w:rPr>
                <w:rFonts w:ascii="Times New Roman" w:eastAsia="Arial" w:hAnsi="Times New Roman" w:cs="Times New Roman"/>
                <w:b/>
                <w:bCs/>
                <w:color w:val="000000"/>
              </w:rPr>
              <w:tab/>
              <w:t>15</w:t>
            </w:r>
          </w:hyperlink>
        </w:p>
        <w:p w14:paraId="0000003A" w14:textId="77777777" w:rsidR="00E6009A" w:rsidRPr="00EA4C1F" w:rsidRDefault="00000000" w:rsidP="00EA4C1F">
          <w:pPr>
            <w:widowControl w:val="0"/>
            <w:tabs>
              <w:tab w:val="right" w:leader="dot" w:pos="12000"/>
            </w:tabs>
            <w:spacing w:before="60" w:after="0" w:line="240" w:lineRule="auto"/>
            <w:ind w:left="720"/>
            <w:jc w:val="both"/>
            <w:rPr>
              <w:rFonts w:ascii="Times New Roman" w:eastAsia="Arial" w:hAnsi="Times New Roman" w:cs="Times New Roman"/>
              <w:color w:val="000000"/>
            </w:rPr>
          </w:pPr>
          <w:hyperlink w:anchor="_heading=h.ol6mfvbjirnr">
            <w:r w:rsidRPr="00EA4C1F">
              <w:rPr>
                <w:rFonts w:ascii="Times New Roman" w:eastAsia="Arial" w:hAnsi="Times New Roman" w:cs="Times New Roman"/>
                <w:color w:val="000000"/>
              </w:rPr>
              <w:t>6.1.2. Segmentaciones y supuestos sobre la base de datos</w:t>
            </w:r>
            <w:r w:rsidRPr="00EA4C1F">
              <w:rPr>
                <w:rFonts w:ascii="Times New Roman" w:eastAsia="Arial" w:hAnsi="Times New Roman" w:cs="Times New Roman"/>
                <w:color w:val="000000"/>
              </w:rPr>
              <w:tab/>
              <w:t>16</w:t>
            </w:r>
          </w:hyperlink>
        </w:p>
        <w:p w14:paraId="0000003B" w14:textId="77777777" w:rsidR="00E6009A" w:rsidRPr="00EA4C1F" w:rsidRDefault="00000000" w:rsidP="00EA4C1F">
          <w:pPr>
            <w:widowControl w:val="0"/>
            <w:tabs>
              <w:tab w:val="right" w:leader="dot" w:pos="12000"/>
            </w:tabs>
            <w:spacing w:before="60" w:after="0" w:line="240" w:lineRule="auto"/>
            <w:ind w:left="360"/>
            <w:jc w:val="both"/>
            <w:rPr>
              <w:rFonts w:ascii="Times New Roman" w:eastAsia="Arial" w:hAnsi="Times New Roman" w:cs="Times New Roman"/>
              <w:color w:val="000000"/>
            </w:rPr>
          </w:pPr>
          <w:hyperlink w:anchor="_heading=h.ggipic3raaay">
            <w:r w:rsidRPr="00EA4C1F">
              <w:rPr>
                <w:rFonts w:ascii="Times New Roman" w:eastAsia="Times New Roman" w:hAnsi="Times New Roman" w:cs="Times New Roman"/>
                <w:color w:val="000000"/>
              </w:rPr>
              <w:t>6.1.3. Índice de actualización de Siniestros</w:t>
            </w:r>
            <w:r w:rsidRPr="00EA4C1F">
              <w:rPr>
                <w:rFonts w:ascii="Times New Roman" w:eastAsia="Times New Roman" w:hAnsi="Times New Roman" w:cs="Times New Roman"/>
                <w:color w:val="000000"/>
              </w:rPr>
              <w:tab/>
              <w:t>17</w:t>
            </w:r>
          </w:hyperlink>
        </w:p>
        <w:p w14:paraId="0000003C" w14:textId="77777777" w:rsidR="00E6009A" w:rsidRPr="00EA4C1F" w:rsidRDefault="00000000" w:rsidP="00EA4C1F">
          <w:pPr>
            <w:widowControl w:val="0"/>
            <w:tabs>
              <w:tab w:val="right" w:leader="dot" w:pos="12000"/>
            </w:tabs>
            <w:spacing w:before="60" w:after="0" w:line="240" w:lineRule="auto"/>
            <w:ind w:left="360"/>
            <w:jc w:val="both"/>
            <w:rPr>
              <w:rFonts w:ascii="Times New Roman" w:eastAsia="Arial" w:hAnsi="Times New Roman" w:cs="Times New Roman"/>
              <w:color w:val="000000"/>
            </w:rPr>
          </w:pPr>
          <w:hyperlink w:anchor="_heading=h.83igg5k4r1o5">
            <w:r w:rsidRPr="00EA4C1F">
              <w:rPr>
                <w:rFonts w:ascii="Times New Roman" w:eastAsia="Times New Roman" w:hAnsi="Times New Roman" w:cs="Times New Roman"/>
                <w:color w:val="000000"/>
              </w:rPr>
              <w:t>6.2. Preprocesamiento de datos</w:t>
            </w:r>
            <w:r w:rsidRPr="00EA4C1F">
              <w:rPr>
                <w:rFonts w:ascii="Times New Roman" w:eastAsia="Times New Roman" w:hAnsi="Times New Roman" w:cs="Times New Roman"/>
                <w:color w:val="000000"/>
              </w:rPr>
              <w:tab/>
              <w:t>18</w:t>
            </w:r>
          </w:hyperlink>
        </w:p>
        <w:p w14:paraId="0000003D" w14:textId="77777777" w:rsidR="00E6009A" w:rsidRPr="00EA4C1F" w:rsidRDefault="00000000" w:rsidP="00EA4C1F">
          <w:pPr>
            <w:widowControl w:val="0"/>
            <w:tabs>
              <w:tab w:val="right" w:leader="dot" w:pos="12000"/>
            </w:tabs>
            <w:spacing w:before="60" w:after="0" w:line="240" w:lineRule="auto"/>
            <w:ind w:left="360"/>
            <w:jc w:val="both"/>
            <w:rPr>
              <w:rFonts w:ascii="Times New Roman" w:eastAsia="Arial" w:hAnsi="Times New Roman" w:cs="Times New Roman"/>
              <w:color w:val="000000"/>
            </w:rPr>
          </w:pPr>
          <w:hyperlink w:anchor="_heading=h.k6pum83tn0jh">
            <w:r w:rsidRPr="00EA4C1F">
              <w:rPr>
                <w:rFonts w:ascii="Times New Roman" w:eastAsia="Arial" w:hAnsi="Times New Roman" w:cs="Times New Roman"/>
                <w:color w:val="000000"/>
              </w:rPr>
              <w:t>6.3. Metodología RGAA</w:t>
            </w:r>
            <w:r w:rsidRPr="00EA4C1F">
              <w:rPr>
                <w:rFonts w:ascii="Times New Roman" w:eastAsia="Arial" w:hAnsi="Times New Roman" w:cs="Times New Roman"/>
                <w:color w:val="000000"/>
              </w:rPr>
              <w:tab/>
              <w:t>19</w:t>
            </w:r>
          </w:hyperlink>
        </w:p>
        <w:p w14:paraId="0000003E" w14:textId="77777777" w:rsidR="00E6009A" w:rsidRPr="00EA4C1F" w:rsidRDefault="00000000" w:rsidP="00EA4C1F">
          <w:pPr>
            <w:widowControl w:val="0"/>
            <w:tabs>
              <w:tab w:val="right" w:leader="dot" w:pos="12000"/>
            </w:tabs>
            <w:spacing w:before="60" w:after="0" w:line="240" w:lineRule="auto"/>
            <w:ind w:left="720"/>
            <w:jc w:val="both"/>
            <w:rPr>
              <w:rFonts w:ascii="Times New Roman" w:eastAsia="Arial" w:hAnsi="Times New Roman" w:cs="Times New Roman"/>
              <w:color w:val="000000"/>
            </w:rPr>
          </w:pPr>
          <w:hyperlink w:anchor="_heading=h.tux7bix64r2t">
            <w:r w:rsidRPr="00EA4C1F">
              <w:rPr>
                <w:rFonts w:ascii="Times New Roman" w:eastAsia="Arial" w:hAnsi="Times New Roman" w:cs="Times New Roman"/>
                <w:color w:val="000000"/>
              </w:rPr>
              <w:t>6.3.1. Actualización y exclusión de siniestros</w:t>
            </w:r>
            <w:r w:rsidRPr="00EA4C1F">
              <w:rPr>
                <w:rFonts w:ascii="Times New Roman" w:eastAsia="Arial" w:hAnsi="Times New Roman" w:cs="Times New Roman"/>
                <w:color w:val="000000"/>
              </w:rPr>
              <w:tab/>
              <w:t>19</w:t>
            </w:r>
          </w:hyperlink>
        </w:p>
        <w:p w14:paraId="0000003F" w14:textId="77777777" w:rsidR="00E6009A" w:rsidRPr="00EA4C1F" w:rsidRDefault="00000000" w:rsidP="00EA4C1F">
          <w:pPr>
            <w:widowControl w:val="0"/>
            <w:tabs>
              <w:tab w:val="right" w:leader="dot" w:pos="12000"/>
            </w:tabs>
            <w:spacing w:before="60" w:after="0" w:line="240" w:lineRule="auto"/>
            <w:ind w:left="720"/>
            <w:jc w:val="both"/>
            <w:rPr>
              <w:rFonts w:ascii="Times New Roman" w:eastAsia="Arial" w:hAnsi="Times New Roman" w:cs="Times New Roman"/>
              <w:color w:val="000000"/>
            </w:rPr>
          </w:pPr>
          <w:hyperlink w:anchor="_heading=h.29x3y76v09b">
            <w:r w:rsidRPr="00EA4C1F">
              <w:rPr>
                <w:rFonts w:ascii="Times New Roman" w:eastAsia="Arial" w:hAnsi="Times New Roman" w:cs="Times New Roman"/>
                <w:color w:val="000000"/>
              </w:rPr>
              <w:t>6.3.2. Modelo de Estimación</w:t>
            </w:r>
            <w:r w:rsidRPr="00EA4C1F">
              <w:rPr>
                <w:rFonts w:ascii="Times New Roman" w:eastAsia="Arial" w:hAnsi="Times New Roman" w:cs="Times New Roman"/>
                <w:color w:val="000000"/>
              </w:rPr>
              <w:tab/>
              <w:t>20</w:t>
            </w:r>
          </w:hyperlink>
        </w:p>
        <w:p w14:paraId="00000040" w14:textId="77777777" w:rsidR="00E6009A" w:rsidRPr="00EA4C1F" w:rsidRDefault="00000000" w:rsidP="00EA4C1F">
          <w:pPr>
            <w:widowControl w:val="0"/>
            <w:tabs>
              <w:tab w:val="right" w:leader="dot" w:pos="12000"/>
            </w:tabs>
            <w:spacing w:before="60" w:after="0" w:line="240" w:lineRule="auto"/>
            <w:ind w:left="720"/>
            <w:jc w:val="both"/>
            <w:rPr>
              <w:rFonts w:ascii="Times New Roman" w:eastAsia="Arial" w:hAnsi="Times New Roman" w:cs="Times New Roman"/>
              <w:color w:val="000000"/>
            </w:rPr>
          </w:pPr>
          <w:hyperlink w:anchor="_heading=h.wj2qy1wy6j62">
            <w:r w:rsidRPr="00EA4C1F">
              <w:rPr>
                <w:rFonts w:ascii="Times New Roman" w:eastAsia="Arial" w:hAnsi="Times New Roman" w:cs="Times New Roman"/>
                <w:color w:val="000000"/>
              </w:rPr>
              <w:t>6.3.3. Ajustes finales</w:t>
            </w:r>
            <w:r w:rsidRPr="00EA4C1F">
              <w:rPr>
                <w:rFonts w:ascii="Times New Roman" w:eastAsia="Arial" w:hAnsi="Times New Roman" w:cs="Times New Roman"/>
                <w:color w:val="000000"/>
              </w:rPr>
              <w:tab/>
              <w:t>24</w:t>
            </w:r>
          </w:hyperlink>
        </w:p>
        <w:p w14:paraId="00000041" w14:textId="77777777" w:rsidR="00E6009A" w:rsidRPr="00EA4C1F" w:rsidRDefault="00000000" w:rsidP="00EA4C1F">
          <w:pPr>
            <w:widowControl w:val="0"/>
            <w:tabs>
              <w:tab w:val="right" w:leader="dot" w:pos="12000"/>
            </w:tabs>
            <w:spacing w:before="60" w:after="0" w:line="240" w:lineRule="auto"/>
            <w:ind w:left="360"/>
            <w:jc w:val="both"/>
            <w:rPr>
              <w:rFonts w:ascii="Times New Roman" w:eastAsia="Arial" w:hAnsi="Times New Roman" w:cs="Times New Roman"/>
              <w:color w:val="000000"/>
            </w:rPr>
          </w:pPr>
          <w:hyperlink w:anchor="_heading=h.kpct9m7gi09">
            <w:r w:rsidRPr="00EA4C1F">
              <w:rPr>
                <w:rFonts w:ascii="Times New Roman" w:eastAsia="Arial" w:hAnsi="Times New Roman" w:cs="Times New Roman"/>
                <w:color w:val="000000"/>
              </w:rPr>
              <w:t>6.4. Metodología compatible con IFRS 17</w:t>
            </w:r>
            <w:r w:rsidRPr="00EA4C1F">
              <w:rPr>
                <w:rFonts w:ascii="Times New Roman" w:eastAsia="Arial" w:hAnsi="Times New Roman" w:cs="Times New Roman"/>
                <w:color w:val="000000"/>
              </w:rPr>
              <w:tab/>
              <w:t>24</w:t>
            </w:r>
          </w:hyperlink>
        </w:p>
        <w:p w14:paraId="00000042" w14:textId="77777777" w:rsidR="00E6009A" w:rsidRPr="00EA4C1F" w:rsidRDefault="00000000" w:rsidP="00EA4C1F">
          <w:pPr>
            <w:widowControl w:val="0"/>
            <w:tabs>
              <w:tab w:val="right" w:leader="dot" w:pos="12000"/>
            </w:tabs>
            <w:spacing w:before="60" w:after="0" w:line="240" w:lineRule="auto"/>
            <w:ind w:left="720"/>
            <w:jc w:val="both"/>
            <w:rPr>
              <w:rFonts w:ascii="Times New Roman" w:eastAsia="Arial" w:hAnsi="Times New Roman" w:cs="Times New Roman"/>
              <w:color w:val="000000"/>
            </w:rPr>
          </w:pPr>
          <w:hyperlink w:anchor="_heading=h.11d6nk201vm0">
            <w:r w:rsidRPr="00EA4C1F">
              <w:rPr>
                <w:rFonts w:ascii="Times New Roman" w:eastAsia="Arial" w:hAnsi="Times New Roman" w:cs="Times New Roman"/>
                <w:color w:val="000000"/>
              </w:rPr>
              <w:t>6.4.1. Medición de siniestros</w:t>
            </w:r>
            <w:r w:rsidRPr="00EA4C1F">
              <w:rPr>
                <w:rFonts w:ascii="Times New Roman" w:eastAsia="Arial" w:hAnsi="Times New Roman" w:cs="Times New Roman"/>
                <w:color w:val="000000"/>
              </w:rPr>
              <w:tab/>
              <w:t>25</w:t>
            </w:r>
          </w:hyperlink>
        </w:p>
        <w:p w14:paraId="00000043" w14:textId="77777777" w:rsidR="00E6009A" w:rsidRPr="00EA4C1F" w:rsidRDefault="00000000" w:rsidP="00EA4C1F">
          <w:pPr>
            <w:widowControl w:val="0"/>
            <w:tabs>
              <w:tab w:val="right" w:leader="dot" w:pos="12000"/>
            </w:tabs>
            <w:spacing w:before="60" w:after="0" w:line="240" w:lineRule="auto"/>
            <w:ind w:left="720"/>
            <w:jc w:val="both"/>
            <w:rPr>
              <w:rFonts w:ascii="Times New Roman" w:eastAsia="Arial" w:hAnsi="Times New Roman" w:cs="Times New Roman"/>
              <w:color w:val="000000"/>
            </w:rPr>
          </w:pPr>
          <w:hyperlink w:anchor="_heading=h.tp0dqiauj8tc">
            <w:r w:rsidRPr="00EA4C1F">
              <w:rPr>
                <w:rFonts w:ascii="Times New Roman" w:eastAsia="Arial" w:hAnsi="Times New Roman" w:cs="Times New Roman"/>
                <w:color w:val="000000"/>
              </w:rPr>
              <w:t>6.4.2. Tasa de descuento</w:t>
            </w:r>
            <w:r w:rsidRPr="00EA4C1F">
              <w:rPr>
                <w:rFonts w:ascii="Times New Roman" w:eastAsia="Arial" w:hAnsi="Times New Roman" w:cs="Times New Roman"/>
                <w:color w:val="000000"/>
              </w:rPr>
              <w:tab/>
              <w:t>27</w:t>
            </w:r>
          </w:hyperlink>
        </w:p>
        <w:p w14:paraId="00000044" w14:textId="77777777" w:rsidR="00E6009A" w:rsidRPr="00EA4C1F" w:rsidRDefault="00000000" w:rsidP="00EA4C1F">
          <w:pPr>
            <w:widowControl w:val="0"/>
            <w:tabs>
              <w:tab w:val="right" w:leader="dot" w:pos="12000"/>
            </w:tabs>
            <w:spacing w:before="60" w:after="0" w:line="240" w:lineRule="auto"/>
            <w:ind w:left="1080"/>
            <w:jc w:val="both"/>
            <w:rPr>
              <w:rFonts w:ascii="Times New Roman" w:eastAsia="Arial" w:hAnsi="Times New Roman" w:cs="Times New Roman"/>
              <w:color w:val="000000"/>
            </w:rPr>
          </w:pPr>
          <w:hyperlink w:anchor="_heading=h.q9snpdkmid63">
            <w:r w:rsidRPr="00EA4C1F">
              <w:rPr>
                <w:rFonts w:ascii="Times New Roman" w:eastAsia="Arial" w:hAnsi="Times New Roman" w:cs="Times New Roman"/>
                <w:color w:val="000000"/>
              </w:rPr>
              <w:t>6.4.2.1. Cartera replicante</w:t>
            </w:r>
            <w:r w:rsidRPr="00EA4C1F">
              <w:rPr>
                <w:rFonts w:ascii="Times New Roman" w:eastAsia="Arial" w:hAnsi="Times New Roman" w:cs="Times New Roman"/>
                <w:color w:val="000000"/>
              </w:rPr>
              <w:tab/>
              <w:t>28</w:t>
            </w:r>
          </w:hyperlink>
        </w:p>
        <w:p w14:paraId="00000045" w14:textId="77777777" w:rsidR="00E6009A" w:rsidRPr="00EA4C1F" w:rsidRDefault="00000000" w:rsidP="00EA4C1F">
          <w:pPr>
            <w:widowControl w:val="0"/>
            <w:tabs>
              <w:tab w:val="right" w:leader="dot" w:pos="12000"/>
            </w:tabs>
            <w:spacing w:before="60" w:after="0" w:line="240" w:lineRule="auto"/>
            <w:ind w:left="1080"/>
            <w:jc w:val="both"/>
            <w:rPr>
              <w:rFonts w:ascii="Times New Roman" w:eastAsia="Arial" w:hAnsi="Times New Roman" w:cs="Times New Roman"/>
              <w:color w:val="000000"/>
            </w:rPr>
          </w:pPr>
          <w:hyperlink w:anchor="_heading=h.fprqcwix5k0k">
            <w:r w:rsidRPr="00EA4C1F">
              <w:rPr>
                <w:rFonts w:ascii="Times New Roman" w:eastAsia="Arial" w:hAnsi="Times New Roman" w:cs="Times New Roman"/>
                <w:color w:val="000000"/>
              </w:rPr>
              <w:t>6.4.2.2. Prima de Riesgo de Crédito</w:t>
            </w:r>
            <w:r w:rsidRPr="00EA4C1F">
              <w:rPr>
                <w:rFonts w:ascii="Times New Roman" w:eastAsia="Arial" w:hAnsi="Times New Roman" w:cs="Times New Roman"/>
                <w:color w:val="000000"/>
              </w:rPr>
              <w:tab/>
              <w:t>28</w:t>
            </w:r>
          </w:hyperlink>
        </w:p>
        <w:p w14:paraId="00000046" w14:textId="77777777" w:rsidR="00E6009A" w:rsidRPr="00EA4C1F" w:rsidRDefault="00000000" w:rsidP="00EA4C1F">
          <w:pPr>
            <w:widowControl w:val="0"/>
            <w:tabs>
              <w:tab w:val="right" w:leader="dot" w:pos="12000"/>
            </w:tabs>
            <w:spacing w:before="60" w:after="0" w:line="240" w:lineRule="auto"/>
            <w:ind w:left="720"/>
            <w:jc w:val="both"/>
            <w:rPr>
              <w:rFonts w:ascii="Times New Roman" w:eastAsia="Arial" w:hAnsi="Times New Roman" w:cs="Times New Roman"/>
              <w:color w:val="000000"/>
            </w:rPr>
          </w:pPr>
          <w:hyperlink w:anchor="_heading=h.az4ae84ewh98">
            <w:r w:rsidRPr="00EA4C1F">
              <w:rPr>
                <w:rFonts w:ascii="Times New Roman" w:eastAsia="Arial" w:hAnsi="Times New Roman" w:cs="Times New Roman"/>
                <w:color w:val="000000"/>
              </w:rPr>
              <w:t>6.4.3. Ajuste de riesgo No Financiero</w:t>
            </w:r>
            <w:r w:rsidRPr="00EA4C1F">
              <w:rPr>
                <w:rFonts w:ascii="Times New Roman" w:eastAsia="Arial" w:hAnsi="Times New Roman" w:cs="Times New Roman"/>
                <w:color w:val="000000"/>
              </w:rPr>
              <w:tab/>
              <w:t>31</w:t>
            </w:r>
          </w:hyperlink>
        </w:p>
        <w:p w14:paraId="00000047" w14:textId="77777777" w:rsidR="00E6009A" w:rsidRPr="00EA4C1F" w:rsidRDefault="00000000" w:rsidP="00EA4C1F">
          <w:pPr>
            <w:widowControl w:val="0"/>
            <w:tabs>
              <w:tab w:val="right" w:leader="dot" w:pos="12000"/>
            </w:tabs>
            <w:spacing w:before="60" w:after="0" w:line="240" w:lineRule="auto"/>
            <w:ind w:left="1080"/>
            <w:jc w:val="both"/>
            <w:rPr>
              <w:rFonts w:ascii="Times New Roman" w:eastAsia="Arial" w:hAnsi="Times New Roman" w:cs="Times New Roman"/>
              <w:color w:val="000000"/>
            </w:rPr>
          </w:pPr>
          <w:hyperlink w:anchor="_heading=h.14mrwja8sx11">
            <w:r w:rsidRPr="00EA4C1F">
              <w:rPr>
                <w:rFonts w:ascii="Times New Roman" w:eastAsia="Arial" w:hAnsi="Times New Roman" w:cs="Times New Roman"/>
                <w:color w:val="000000"/>
              </w:rPr>
              <w:t>6.4.3.1. Enfoque de estimación de la distribución</w:t>
            </w:r>
            <w:r w:rsidRPr="00EA4C1F">
              <w:rPr>
                <w:rFonts w:ascii="Times New Roman" w:eastAsia="Arial" w:hAnsi="Times New Roman" w:cs="Times New Roman"/>
                <w:color w:val="000000"/>
              </w:rPr>
              <w:tab/>
              <w:t>32</w:t>
            </w:r>
          </w:hyperlink>
        </w:p>
        <w:p w14:paraId="00000048" w14:textId="77777777" w:rsidR="00E6009A" w:rsidRPr="00EA4C1F" w:rsidRDefault="00000000" w:rsidP="00EA4C1F">
          <w:pPr>
            <w:widowControl w:val="0"/>
            <w:tabs>
              <w:tab w:val="right" w:leader="dot" w:pos="12000"/>
            </w:tabs>
            <w:spacing w:before="60" w:after="0" w:line="240" w:lineRule="auto"/>
            <w:ind w:left="1080"/>
            <w:jc w:val="both"/>
            <w:rPr>
              <w:rFonts w:ascii="Times New Roman" w:eastAsia="Arial" w:hAnsi="Times New Roman" w:cs="Times New Roman"/>
              <w:color w:val="000000"/>
            </w:rPr>
          </w:pPr>
          <w:hyperlink w:anchor="_heading=h.fvjv99j644ys">
            <w:r w:rsidRPr="00EA4C1F">
              <w:rPr>
                <w:rFonts w:ascii="Times New Roman" w:eastAsia="Arial" w:hAnsi="Times New Roman" w:cs="Times New Roman"/>
                <w:color w:val="000000"/>
              </w:rPr>
              <w:t>6.4.3.2. Selección y aplicación del ajuste de riesgo no financiero</w:t>
            </w:r>
            <w:r w:rsidRPr="00EA4C1F">
              <w:rPr>
                <w:rFonts w:ascii="Times New Roman" w:eastAsia="Arial" w:hAnsi="Times New Roman" w:cs="Times New Roman"/>
                <w:color w:val="000000"/>
              </w:rPr>
              <w:tab/>
              <w:t>34</w:t>
            </w:r>
          </w:hyperlink>
        </w:p>
        <w:p w14:paraId="00000049" w14:textId="77777777" w:rsidR="00E6009A" w:rsidRPr="00EA4C1F" w:rsidRDefault="00000000" w:rsidP="00EA4C1F">
          <w:pPr>
            <w:widowControl w:val="0"/>
            <w:tabs>
              <w:tab w:val="right" w:leader="dot" w:pos="12000"/>
            </w:tabs>
            <w:spacing w:before="60" w:after="0" w:line="240" w:lineRule="auto"/>
            <w:jc w:val="both"/>
            <w:rPr>
              <w:rFonts w:ascii="Times New Roman" w:eastAsia="Arial" w:hAnsi="Times New Roman" w:cs="Times New Roman"/>
              <w:b/>
              <w:bCs/>
              <w:color w:val="000000"/>
            </w:rPr>
          </w:pPr>
          <w:hyperlink w:anchor="_heading=h.ma4zcnithr93">
            <w:r w:rsidRPr="00EA4C1F">
              <w:rPr>
                <w:rFonts w:ascii="Times New Roman" w:eastAsia="Arial" w:hAnsi="Times New Roman" w:cs="Times New Roman"/>
                <w:color w:val="000000"/>
              </w:rPr>
              <w:t>7. Análisis de Resultados</w:t>
            </w:r>
            <w:r w:rsidRPr="00EA4C1F">
              <w:rPr>
                <w:rFonts w:ascii="Times New Roman" w:eastAsia="Arial" w:hAnsi="Times New Roman" w:cs="Times New Roman"/>
                <w:color w:val="000000"/>
              </w:rPr>
              <w:tab/>
              <w:t>34</w:t>
            </w:r>
          </w:hyperlink>
        </w:p>
        <w:p w14:paraId="0000004A" w14:textId="77777777" w:rsidR="00E6009A" w:rsidRPr="00EA4C1F" w:rsidRDefault="00000000" w:rsidP="00EA4C1F">
          <w:pPr>
            <w:widowControl w:val="0"/>
            <w:tabs>
              <w:tab w:val="right" w:leader="dot" w:pos="12000"/>
            </w:tabs>
            <w:spacing w:before="60" w:after="0" w:line="240" w:lineRule="auto"/>
            <w:ind w:left="360"/>
            <w:jc w:val="both"/>
            <w:rPr>
              <w:rFonts w:ascii="Times New Roman" w:eastAsia="Arial" w:hAnsi="Times New Roman" w:cs="Times New Roman"/>
              <w:color w:val="000000"/>
            </w:rPr>
          </w:pPr>
          <w:hyperlink w:anchor="_heading=h.muwd3u1vx03e">
            <w:r w:rsidRPr="00EA4C1F">
              <w:rPr>
                <w:rFonts w:ascii="Times New Roman" w:eastAsia="Arial" w:hAnsi="Times New Roman" w:cs="Times New Roman"/>
                <w:color w:val="000000"/>
              </w:rPr>
              <w:t>7.1. Medición bajo RGAA</w:t>
            </w:r>
            <w:r w:rsidRPr="00EA4C1F">
              <w:rPr>
                <w:rFonts w:ascii="Times New Roman" w:eastAsia="Arial" w:hAnsi="Times New Roman" w:cs="Times New Roman"/>
                <w:color w:val="000000"/>
              </w:rPr>
              <w:tab/>
              <w:t>34</w:t>
            </w:r>
          </w:hyperlink>
        </w:p>
        <w:p w14:paraId="0000004B" w14:textId="77777777" w:rsidR="00E6009A" w:rsidRPr="00EA4C1F" w:rsidRDefault="00000000" w:rsidP="00EA4C1F">
          <w:pPr>
            <w:widowControl w:val="0"/>
            <w:tabs>
              <w:tab w:val="right" w:leader="dot" w:pos="12000"/>
            </w:tabs>
            <w:spacing w:before="60" w:after="0" w:line="240" w:lineRule="auto"/>
            <w:ind w:left="360"/>
            <w:jc w:val="both"/>
            <w:rPr>
              <w:rFonts w:ascii="Times New Roman" w:eastAsia="Arial" w:hAnsi="Times New Roman" w:cs="Times New Roman"/>
              <w:color w:val="000000"/>
            </w:rPr>
          </w:pPr>
          <w:hyperlink w:anchor="_heading=h.7qailcdk9eol">
            <w:r w:rsidRPr="00EA4C1F">
              <w:rPr>
                <w:rFonts w:ascii="Times New Roman" w:eastAsia="Arial" w:hAnsi="Times New Roman" w:cs="Times New Roman"/>
                <w:color w:val="000000"/>
              </w:rPr>
              <w:t>7.2. Medición compatible con IFRS 17</w:t>
            </w:r>
            <w:r w:rsidRPr="00EA4C1F">
              <w:rPr>
                <w:rFonts w:ascii="Times New Roman" w:eastAsia="Arial" w:hAnsi="Times New Roman" w:cs="Times New Roman"/>
                <w:color w:val="000000"/>
              </w:rPr>
              <w:tab/>
              <w:t>36</w:t>
            </w:r>
          </w:hyperlink>
        </w:p>
        <w:p w14:paraId="0000004C" w14:textId="77777777" w:rsidR="00E6009A" w:rsidRPr="00EA4C1F" w:rsidRDefault="00000000" w:rsidP="00EA4C1F">
          <w:pPr>
            <w:widowControl w:val="0"/>
            <w:tabs>
              <w:tab w:val="right" w:leader="dot" w:pos="12000"/>
            </w:tabs>
            <w:spacing w:before="60" w:after="0" w:line="240" w:lineRule="auto"/>
            <w:ind w:left="720"/>
            <w:jc w:val="both"/>
            <w:rPr>
              <w:rFonts w:ascii="Times New Roman" w:eastAsia="Arial" w:hAnsi="Times New Roman" w:cs="Times New Roman"/>
              <w:color w:val="000000"/>
            </w:rPr>
          </w:pPr>
          <w:hyperlink w:anchor="_heading=h.9yuhdcvsadvy">
            <w:r w:rsidRPr="00EA4C1F">
              <w:rPr>
                <w:rFonts w:ascii="Times New Roman" w:eastAsia="Arial" w:hAnsi="Times New Roman" w:cs="Times New Roman"/>
                <w:color w:val="000000"/>
              </w:rPr>
              <w:t>7.2.1. Estimación de Siniestros</w:t>
            </w:r>
            <w:r w:rsidRPr="00EA4C1F">
              <w:rPr>
                <w:rFonts w:ascii="Times New Roman" w:eastAsia="Arial" w:hAnsi="Times New Roman" w:cs="Times New Roman"/>
                <w:color w:val="000000"/>
              </w:rPr>
              <w:tab/>
              <w:t>36</w:t>
            </w:r>
          </w:hyperlink>
        </w:p>
        <w:p w14:paraId="0000004D" w14:textId="77777777" w:rsidR="00E6009A" w:rsidRPr="00EA4C1F" w:rsidRDefault="00000000" w:rsidP="00EA4C1F">
          <w:pPr>
            <w:widowControl w:val="0"/>
            <w:tabs>
              <w:tab w:val="right" w:leader="dot" w:pos="12000"/>
            </w:tabs>
            <w:spacing w:before="60" w:after="0" w:line="240" w:lineRule="auto"/>
            <w:ind w:left="720"/>
            <w:jc w:val="both"/>
            <w:rPr>
              <w:rFonts w:ascii="Times New Roman" w:eastAsia="Arial" w:hAnsi="Times New Roman" w:cs="Times New Roman"/>
              <w:color w:val="000000"/>
            </w:rPr>
          </w:pPr>
          <w:hyperlink w:anchor="_heading=h.btxp0sdlok32">
            <w:r w:rsidRPr="00EA4C1F">
              <w:rPr>
                <w:rFonts w:ascii="Times New Roman" w:eastAsia="Arial" w:hAnsi="Times New Roman" w:cs="Times New Roman"/>
                <w:color w:val="000000"/>
              </w:rPr>
              <w:t>7.2.2. Factor de Descuento</w:t>
            </w:r>
            <w:r w:rsidRPr="00EA4C1F">
              <w:rPr>
                <w:rFonts w:ascii="Times New Roman" w:eastAsia="Arial" w:hAnsi="Times New Roman" w:cs="Times New Roman"/>
                <w:color w:val="000000"/>
              </w:rPr>
              <w:tab/>
              <w:t>38</w:t>
            </w:r>
          </w:hyperlink>
        </w:p>
        <w:p w14:paraId="0000004E" w14:textId="77777777" w:rsidR="00E6009A" w:rsidRPr="00EA4C1F" w:rsidRDefault="00000000" w:rsidP="00EA4C1F">
          <w:pPr>
            <w:widowControl w:val="0"/>
            <w:tabs>
              <w:tab w:val="right" w:leader="dot" w:pos="12000"/>
            </w:tabs>
            <w:spacing w:before="60" w:after="0" w:line="240" w:lineRule="auto"/>
            <w:ind w:left="720"/>
            <w:jc w:val="both"/>
            <w:rPr>
              <w:rFonts w:ascii="Times New Roman" w:eastAsia="Arial" w:hAnsi="Times New Roman" w:cs="Times New Roman"/>
              <w:color w:val="000000"/>
            </w:rPr>
          </w:pPr>
          <w:hyperlink w:anchor="_heading=h.96zg1si9czlb">
            <w:r w:rsidRPr="00EA4C1F">
              <w:rPr>
                <w:rFonts w:ascii="Times New Roman" w:eastAsia="Arial" w:hAnsi="Times New Roman" w:cs="Times New Roman"/>
                <w:color w:val="000000"/>
              </w:rPr>
              <w:t>7.2.3. Ajuste de riesgo No Financiero</w:t>
            </w:r>
            <w:r w:rsidRPr="00EA4C1F">
              <w:rPr>
                <w:rFonts w:ascii="Times New Roman" w:eastAsia="Arial" w:hAnsi="Times New Roman" w:cs="Times New Roman"/>
                <w:color w:val="000000"/>
              </w:rPr>
              <w:tab/>
              <w:t>41</w:t>
            </w:r>
          </w:hyperlink>
        </w:p>
        <w:p w14:paraId="0000004F" w14:textId="77777777" w:rsidR="00E6009A" w:rsidRPr="00EA4C1F" w:rsidRDefault="00000000" w:rsidP="00EA4C1F">
          <w:pPr>
            <w:widowControl w:val="0"/>
            <w:tabs>
              <w:tab w:val="right" w:leader="dot" w:pos="12000"/>
            </w:tabs>
            <w:spacing w:before="60" w:after="0" w:line="240" w:lineRule="auto"/>
            <w:ind w:left="360"/>
            <w:jc w:val="both"/>
            <w:rPr>
              <w:rFonts w:ascii="Times New Roman" w:eastAsia="Arial" w:hAnsi="Times New Roman" w:cs="Times New Roman"/>
              <w:color w:val="000000"/>
            </w:rPr>
          </w:pPr>
          <w:hyperlink w:anchor="_heading=h.i5203ug3lxrm">
            <w:r w:rsidRPr="00EA4C1F">
              <w:rPr>
                <w:rFonts w:ascii="Times New Roman" w:eastAsia="Arial" w:hAnsi="Times New Roman" w:cs="Times New Roman"/>
                <w:color w:val="000000"/>
              </w:rPr>
              <w:t>7.3. Resultados</w:t>
            </w:r>
            <w:r w:rsidRPr="00EA4C1F">
              <w:rPr>
                <w:rFonts w:ascii="Times New Roman" w:eastAsia="Arial" w:hAnsi="Times New Roman" w:cs="Times New Roman"/>
                <w:color w:val="000000"/>
              </w:rPr>
              <w:tab/>
              <w:t>42</w:t>
            </w:r>
          </w:hyperlink>
        </w:p>
        <w:p w14:paraId="00000050" w14:textId="77777777" w:rsidR="00E6009A" w:rsidRPr="00EA4C1F" w:rsidRDefault="00000000" w:rsidP="00EA4C1F">
          <w:pPr>
            <w:widowControl w:val="0"/>
            <w:tabs>
              <w:tab w:val="right" w:leader="dot" w:pos="12000"/>
            </w:tabs>
            <w:spacing w:before="60" w:after="0" w:line="240" w:lineRule="auto"/>
            <w:jc w:val="both"/>
            <w:rPr>
              <w:rFonts w:ascii="Times New Roman" w:eastAsia="Arial" w:hAnsi="Times New Roman" w:cs="Times New Roman"/>
              <w:b/>
              <w:bCs/>
              <w:color w:val="000000"/>
            </w:rPr>
          </w:pPr>
          <w:hyperlink w:anchor="_heading=h.fkoqbqxzjx6r">
            <w:r w:rsidRPr="00EA4C1F">
              <w:rPr>
                <w:rFonts w:ascii="Times New Roman" w:eastAsia="Arial" w:hAnsi="Times New Roman" w:cs="Times New Roman"/>
                <w:color w:val="000000"/>
              </w:rPr>
              <w:t>8. Conclusiones</w:t>
            </w:r>
            <w:r w:rsidRPr="00EA4C1F">
              <w:rPr>
                <w:rFonts w:ascii="Times New Roman" w:eastAsia="Arial" w:hAnsi="Times New Roman" w:cs="Times New Roman"/>
                <w:color w:val="000000"/>
              </w:rPr>
              <w:tab/>
              <w:t>44</w:t>
            </w:r>
          </w:hyperlink>
        </w:p>
        <w:p w14:paraId="00000051" w14:textId="77777777" w:rsidR="00E6009A" w:rsidRPr="00EA4C1F" w:rsidRDefault="00000000" w:rsidP="00EA4C1F">
          <w:pPr>
            <w:widowControl w:val="0"/>
            <w:tabs>
              <w:tab w:val="right" w:leader="dot" w:pos="12000"/>
            </w:tabs>
            <w:spacing w:before="60" w:after="0" w:line="240" w:lineRule="auto"/>
            <w:jc w:val="both"/>
            <w:rPr>
              <w:rFonts w:ascii="Times New Roman" w:eastAsia="Arial" w:hAnsi="Times New Roman" w:cs="Times New Roman"/>
              <w:b/>
              <w:bCs/>
              <w:color w:val="000000"/>
            </w:rPr>
          </w:pPr>
          <w:hyperlink w:anchor="_heading=h.kqe2u01ddtc2">
            <w:r w:rsidRPr="00EA4C1F">
              <w:rPr>
                <w:rFonts w:ascii="Times New Roman" w:eastAsia="Arial" w:hAnsi="Times New Roman" w:cs="Times New Roman"/>
                <w:b/>
                <w:bCs/>
                <w:color w:val="000000"/>
              </w:rPr>
              <w:t>9. Anexos</w:t>
            </w:r>
            <w:r w:rsidRPr="00EA4C1F">
              <w:rPr>
                <w:rFonts w:ascii="Times New Roman" w:eastAsia="Arial" w:hAnsi="Times New Roman" w:cs="Times New Roman"/>
                <w:b/>
                <w:bCs/>
                <w:color w:val="000000"/>
              </w:rPr>
              <w:tab/>
              <w:t>46</w:t>
            </w:r>
          </w:hyperlink>
        </w:p>
        <w:p w14:paraId="00000052" w14:textId="77777777" w:rsidR="00E6009A" w:rsidRPr="00EA4C1F" w:rsidRDefault="00000000" w:rsidP="00EA4C1F">
          <w:pPr>
            <w:widowControl w:val="0"/>
            <w:tabs>
              <w:tab w:val="right" w:leader="dot" w:pos="12000"/>
            </w:tabs>
            <w:spacing w:before="60" w:after="0" w:line="240" w:lineRule="auto"/>
            <w:jc w:val="both"/>
            <w:rPr>
              <w:rFonts w:ascii="Times New Roman" w:eastAsia="Arial" w:hAnsi="Times New Roman" w:cs="Times New Roman"/>
              <w:b/>
              <w:bCs/>
              <w:color w:val="000000"/>
            </w:rPr>
          </w:pPr>
          <w:hyperlink w:anchor="_heading=h.cnz0lc9b38t5">
            <w:r w:rsidRPr="00EA4C1F">
              <w:rPr>
                <w:rFonts w:ascii="Times New Roman" w:eastAsia="Arial" w:hAnsi="Times New Roman" w:cs="Times New Roman"/>
                <w:b/>
                <w:bCs/>
                <w:color w:val="000000"/>
              </w:rPr>
              <w:t>10. Bibliografía</w:t>
            </w:r>
            <w:r w:rsidRPr="00EA4C1F">
              <w:rPr>
                <w:rFonts w:ascii="Times New Roman" w:eastAsia="Arial" w:hAnsi="Times New Roman" w:cs="Times New Roman"/>
                <w:b/>
                <w:bCs/>
                <w:color w:val="000000"/>
              </w:rPr>
              <w:tab/>
              <w:t>46</w:t>
            </w:r>
          </w:hyperlink>
          <w:r w:rsidRPr="00EA4C1F">
            <w:rPr>
              <w:rFonts w:ascii="Times New Roman" w:eastAsia="Arial" w:hAnsi="Times New Roman" w:cs="Times New Roman"/>
              <w:b/>
              <w:bCs/>
            </w:rPr>
            <w:t xml:space="preserve"> </w:t>
          </w:r>
          <w:r w:rsidRPr="00EA4C1F">
            <w:rPr>
              <w:rFonts w:ascii="Times New Roman" w:hAnsi="Times New Roman" w:cs="Times New Roman"/>
            </w:rPr>
            <w:fldChar w:fldCharType="end"/>
          </w:r>
        </w:p>
      </w:sdtContent>
    </w:sdt>
    <w:p w14:paraId="00000053" w14:textId="77777777" w:rsidR="00E6009A" w:rsidRPr="00EA4C1F" w:rsidRDefault="00E6009A" w:rsidP="00EA4C1F">
      <w:pPr>
        <w:spacing w:after="0" w:line="480" w:lineRule="auto"/>
        <w:jc w:val="both"/>
        <w:rPr>
          <w:rFonts w:ascii="Times New Roman" w:eastAsia="Times New Roman" w:hAnsi="Times New Roman" w:cs="Times New Roman"/>
        </w:rPr>
      </w:pPr>
    </w:p>
    <w:p w14:paraId="00000054" w14:textId="77777777" w:rsidR="00E6009A" w:rsidRPr="00EA4C1F" w:rsidRDefault="00000000" w:rsidP="00EA4C1F">
      <w:pPr>
        <w:pStyle w:val="Heading1"/>
        <w:numPr>
          <w:ilvl w:val="0"/>
          <w:numId w:val="3"/>
        </w:numPr>
        <w:rPr>
          <w:sz w:val="44"/>
          <w:szCs w:val="44"/>
        </w:rPr>
      </w:pPr>
      <w:bookmarkStart w:id="8" w:name="_heading=h.wrc9pdjn8yos" w:colFirst="0" w:colLast="0"/>
      <w:bookmarkEnd w:id="8"/>
      <w:r w:rsidRPr="00EA4C1F">
        <w:rPr>
          <w:sz w:val="44"/>
          <w:szCs w:val="44"/>
        </w:rPr>
        <w:t xml:space="preserve"> </w:t>
      </w:r>
      <w:sdt>
        <w:sdtPr>
          <w:tag w:val="goog_rdk_7"/>
          <w:id w:val="-1861166953"/>
        </w:sdtPr>
        <w:sdtContent>
          <w:commentRangeStart w:id="9"/>
        </w:sdtContent>
      </w:sdt>
      <w:sdt>
        <w:sdtPr>
          <w:tag w:val="goog_rdk_8"/>
          <w:id w:val="-396430687"/>
        </w:sdtPr>
        <w:sdtContent>
          <w:commentRangeStart w:id="10"/>
          <w:commentRangeStart w:id="11"/>
        </w:sdtContent>
      </w:sdt>
      <w:r w:rsidRPr="00EA4C1F">
        <w:rPr>
          <w:sz w:val="44"/>
          <w:szCs w:val="44"/>
        </w:rPr>
        <w:t>Glosario</w:t>
      </w:r>
      <w:commentRangeEnd w:id="9"/>
      <w:r w:rsidRPr="00EA4C1F">
        <w:commentReference w:id="9"/>
      </w:r>
      <w:commentRangeEnd w:id="10"/>
      <w:r w:rsidRPr="00EA4C1F">
        <w:commentReference w:id="10"/>
      </w:r>
      <w:commentRangeEnd w:id="11"/>
      <w:r w:rsidR="00592576">
        <w:rPr>
          <w:rStyle w:val="CommentReference"/>
          <w:rFonts w:ascii="Aptos" w:eastAsia="Aptos" w:hAnsi="Aptos" w:cs="Aptos"/>
          <w:color w:val="auto"/>
        </w:rPr>
        <w:commentReference w:id="11"/>
      </w:r>
    </w:p>
    <w:p w14:paraId="00000055" w14:textId="77777777" w:rsidR="00E6009A" w:rsidRPr="00EA4C1F" w:rsidRDefault="00000000" w:rsidP="00EA4C1F">
      <w:pPr>
        <w:spacing w:after="0" w:line="480" w:lineRule="auto"/>
        <w:jc w:val="both"/>
        <w:rPr>
          <w:rFonts w:ascii="Times New Roman" w:eastAsia="Times New Roman" w:hAnsi="Times New Roman" w:cs="Times New Roman"/>
        </w:rPr>
      </w:pPr>
      <w:r w:rsidRPr="00EA4C1F">
        <w:rPr>
          <w:rFonts w:ascii="Times New Roman" w:eastAsia="Times New Roman" w:hAnsi="Times New Roman" w:cs="Times New Roman"/>
        </w:rPr>
        <w:t xml:space="preserve"> </w:t>
      </w:r>
    </w:p>
    <w:p w14:paraId="00000056" w14:textId="77777777" w:rsidR="00E6009A" w:rsidRPr="00EA4C1F" w:rsidRDefault="00000000" w:rsidP="00EA4C1F">
      <w:pPr>
        <w:pStyle w:val="Heading1"/>
        <w:numPr>
          <w:ilvl w:val="0"/>
          <w:numId w:val="3"/>
        </w:numPr>
      </w:pPr>
      <w:bookmarkStart w:id="12" w:name="_heading=h.yfrph9brfnis" w:colFirst="0" w:colLast="0"/>
      <w:bookmarkEnd w:id="12"/>
      <w:r w:rsidRPr="00EA4C1F">
        <w:t>Introducción</w:t>
      </w:r>
    </w:p>
    <w:p w14:paraId="00000057" w14:textId="77777777" w:rsidR="00E6009A" w:rsidRPr="00EA4C1F" w:rsidRDefault="00000000" w:rsidP="00EA4C1F">
      <w:p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En el ámbito asegurador, la correcta estimación de las reservas técnicas constituye un componente esencial para la solvencia y estabilidad financiera de las entidades. Dentro de estas, las reservas por siniestros IBNR representan una de las partidas más relevantes, especialmente en ramos de responsabilidad civil, donde los reclamos suelen caracterizarse por demoras significativas entre la ocurrencia del evento y su liquidación final.</w:t>
      </w:r>
    </w:p>
    <w:p w14:paraId="00000058" w14:textId="77777777" w:rsidR="00E6009A" w:rsidRPr="00EA4C1F" w:rsidRDefault="00000000" w:rsidP="00EA4C1F">
      <w:p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Recientemente, en Argentina, la metodología de cálculo del IBNR, descripta en el RGAA y supervisada por la Superintendencia de Seguros de la Nación (de ahora en más, SSN), se vio alterada por </w:t>
      </w:r>
      <w:sdt>
        <w:sdtPr>
          <w:rPr>
            <w:rFonts w:ascii="Times New Roman" w:hAnsi="Times New Roman" w:cs="Times New Roman"/>
          </w:rPr>
          <w:tag w:val="goog_rdk_9"/>
          <w:id w:val="1683941475"/>
        </w:sdtPr>
        <w:sdtContent>
          <w:commentRangeStart w:id="13"/>
        </w:sdtContent>
      </w:sdt>
      <w:r w:rsidRPr="00EA4C1F">
        <w:rPr>
          <w:rFonts w:ascii="Times New Roman" w:eastAsia="Times New Roman" w:hAnsi="Times New Roman" w:cs="Times New Roman"/>
          <w:sz w:val="24"/>
          <w:szCs w:val="24"/>
        </w:rPr>
        <w:t xml:space="preserve">la </w:t>
      </w:r>
      <w:r w:rsidRPr="00EA4C1F">
        <w:rPr>
          <w:rFonts w:ascii="Times New Roman" w:eastAsia="Times New Roman" w:hAnsi="Times New Roman" w:cs="Times New Roman"/>
          <w:color w:val="EE0000"/>
          <w:sz w:val="24"/>
          <w:szCs w:val="24"/>
        </w:rPr>
        <w:t>Resolución 287/2025.</w:t>
      </w:r>
      <w:r w:rsidRPr="00EA4C1F">
        <w:rPr>
          <w:rFonts w:ascii="Times New Roman" w:eastAsia="Times New Roman" w:hAnsi="Times New Roman" w:cs="Times New Roman"/>
          <w:sz w:val="24"/>
          <w:szCs w:val="24"/>
        </w:rPr>
        <w:t xml:space="preserve"> Dicho documento formalizó los cambios explicitados en la </w:t>
      </w:r>
      <w:r w:rsidRPr="00EA4C1F">
        <w:rPr>
          <w:rFonts w:ascii="Times New Roman" w:eastAsia="Times New Roman" w:hAnsi="Times New Roman" w:cs="Times New Roman"/>
          <w:color w:val="EE0000"/>
          <w:sz w:val="24"/>
          <w:szCs w:val="24"/>
        </w:rPr>
        <w:t>Resolución Transitoria 353/2023</w:t>
      </w:r>
      <w:r w:rsidRPr="00EA4C1F">
        <w:rPr>
          <w:rFonts w:ascii="Times New Roman" w:eastAsia="Times New Roman" w:hAnsi="Times New Roman" w:cs="Times New Roman"/>
          <w:sz w:val="24"/>
          <w:szCs w:val="24"/>
        </w:rPr>
        <w:t>,</w:t>
      </w:r>
      <w:commentRangeEnd w:id="13"/>
      <w:r w:rsidRPr="00EA4C1F">
        <w:rPr>
          <w:rFonts w:ascii="Times New Roman" w:hAnsi="Times New Roman" w:cs="Times New Roman"/>
        </w:rPr>
        <w:commentReference w:id="13"/>
      </w:r>
      <w:r w:rsidRPr="00EA4C1F">
        <w:rPr>
          <w:rFonts w:ascii="Times New Roman" w:eastAsia="Times New Roman" w:hAnsi="Times New Roman" w:cs="Times New Roman"/>
          <w:sz w:val="24"/>
          <w:szCs w:val="24"/>
        </w:rPr>
        <w:t xml:space="preserve"> la cual, con el objetivo de la correcta medición del riesgo de siniestro para el ramo Automotor, Responsabilidad Civil (de ahora en más, RC Auto), argumenta por la aplicación de la Tasa FACPCE (r</w:t>
      </w:r>
      <w:r w:rsidRPr="00EA4C1F">
        <w:rPr>
          <w:rFonts w:ascii="Times New Roman" w:eastAsia="Times New Roman" w:hAnsi="Times New Roman" w:cs="Times New Roman"/>
          <w:color w:val="EE0000"/>
          <w:sz w:val="24"/>
          <w:szCs w:val="24"/>
        </w:rPr>
        <w:t>esolución 539/18</w:t>
      </w:r>
      <w:r w:rsidRPr="00EA4C1F">
        <w:rPr>
          <w:rFonts w:ascii="Times New Roman" w:eastAsia="Times New Roman" w:hAnsi="Times New Roman" w:cs="Times New Roman"/>
          <w:sz w:val="24"/>
          <w:szCs w:val="24"/>
        </w:rPr>
        <w:t xml:space="preserve"> de la Junta de Gobierno de la Federación Argentina de Consejo Profesionales de Ciencias Económicas) a los montos de siniestros al momento del cálculo, así como la anulación de montos de IBNR negativos por año de ocurrencia. Esto último, sucede generalmente en casos donde la Reserva de Siniestros Pendientes (de ahora en más, RSP) sobreestima la pérdida o cuando existen cancelaciones de pagos de siniestros mayores al desarrollo de los ocurridos en ese mismo año.</w:t>
      </w:r>
    </w:p>
    <w:p w14:paraId="00000059" w14:textId="77777777" w:rsidR="00E6009A" w:rsidRPr="00EA4C1F" w:rsidRDefault="00000000" w:rsidP="00EA4C1F">
      <w:p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lastRenderedPageBreak/>
        <w:t>En este contexto, el RGAA continúa proponiendo un modelo basado en técnicas determinísticas que, si bien son sencillas y transparentes, presenta limitaciones importantes: no cuantifica la incertidumbre asociada a las estimaciones, depende fuertemente de la estabilidad histórica de los datos, y no permite modelar adecuadamente la variabilidad o sobre dispersión inherente a los siniestros.</w:t>
      </w:r>
    </w:p>
    <w:p w14:paraId="0000005A" w14:textId="77777777" w:rsidR="00E6009A" w:rsidRPr="00EA4C1F" w:rsidRDefault="00000000" w:rsidP="00EA4C1F">
      <w:p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En los últimos años, a nivel internacional, se ha observado una tendencia hacia la expansión de la definición de riesgo de un contrato de seguros, evidenciado por incorporación de modelos estocásticos, incorporación de conceptos como valor tiempo del dinero y reservas para el riesgo de flujo (riesgos no financieros). </w:t>
      </w:r>
    </w:p>
    <w:p w14:paraId="0000005B" w14:textId="77777777" w:rsidR="00E6009A" w:rsidRPr="00EA4C1F" w:rsidRDefault="00000000" w:rsidP="00EA4C1F">
      <w:p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Por este motivo, el presente trabajo tiene como objetivo evaluar si la nueva reforma es suficiente para cubrir razonablemente el riesgo, utilizando distintos métodos de estimación del IBNR aplicados al ramo de RC Auto y comparando los resultados obtenidos mediante el enfoque regulatorio tradicional (Chain Ladder bajo RGAA) con los provenientes de modelos estocásticos congruentes con la IFRS 17. El análisis se realizará </w:t>
      </w:r>
      <w:r w:rsidRPr="00EA4C1F">
        <w:rPr>
          <w:rFonts w:ascii="Times New Roman" w:eastAsia="Times New Roman" w:hAnsi="Times New Roman" w:cs="Times New Roman"/>
          <w:color w:val="EE0000"/>
          <w:sz w:val="24"/>
          <w:szCs w:val="24"/>
        </w:rPr>
        <w:t>utilizando datos publicados por la SSN</w:t>
      </w:r>
      <w:r w:rsidRPr="00EA4C1F">
        <w:rPr>
          <w:rFonts w:ascii="Times New Roman" w:eastAsia="Times New Roman" w:hAnsi="Times New Roman" w:cs="Times New Roman"/>
          <w:sz w:val="24"/>
          <w:szCs w:val="24"/>
        </w:rPr>
        <w:t>, ajustados por inflación mediante el índice FACPCE, a fin de expresar todos los valores en términos reales y eliminar distorsiones nominales.</w:t>
      </w:r>
    </w:p>
    <w:p w14:paraId="0000005C" w14:textId="77777777" w:rsidR="00E6009A" w:rsidRPr="00EA4C1F" w:rsidRDefault="00000000" w:rsidP="00EA4C1F">
      <w:p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Se busca así, analizar la consistencia y la sensibilidad del cambio metodológico considerado, identificando en qué medida los modelos estocásticos aportan mejoras en la medición del riesgo sin perder aplicabilidad práctica en el entorno regulatorio argentino.</w:t>
      </w:r>
    </w:p>
    <w:p w14:paraId="0000005D" w14:textId="77777777" w:rsidR="00E6009A" w:rsidRPr="00EA4C1F" w:rsidRDefault="00000000" w:rsidP="00EA4C1F">
      <w:pPr>
        <w:pStyle w:val="Heading1"/>
        <w:numPr>
          <w:ilvl w:val="0"/>
          <w:numId w:val="3"/>
        </w:numPr>
      </w:pPr>
      <w:bookmarkStart w:id="14" w:name="_heading=h.lr0bls8u57fz" w:colFirst="0" w:colLast="0"/>
      <w:bookmarkEnd w:id="14"/>
      <w:r w:rsidRPr="00EA4C1F">
        <w:t>Objetivo</w:t>
      </w:r>
    </w:p>
    <w:p w14:paraId="0000005E" w14:textId="77777777" w:rsidR="00E6009A" w:rsidRPr="00EA4C1F" w:rsidRDefault="00000000" w:rsidP="00EA4C1F">
      <w:pPr>
        <w:spacing w:after="0" w:line="480" w:lineRule="auto"/>
        <w:jc w:val="both"/>
        <w:rPr>
          <w:rFonts w:ascii="Times New Roman" w:eastAsia="Times New Roman" w:hAnsi="Times New Roman" w:cs="Times New Roman"/>
          <w:color w:val="EE0000"/>
          <w:sz w:val="24"/>
          <w:szCs w:val="24"/>
        </w:rPr>
      </w:pPr>
      <w:r w:rsidRPr="00EA4C1F">
        <w:rPr>
          <w:rFonts w:ascii="Times New Roman" w:eastAsia="Times New Roman" w:hAnsi="Times New Roman" w:cs="Times New Roman"/>
          <w:sz w:val="24"/>
          <w:szCs w:val="24"/>
        </w:rPr>
        <w:t>El objetivo de este trabajo es realizar un análisis de los cambios normativos en el cálculo de la reserva IBNR para RC Auto, impulsados en la Resolución 287/2025 y contrastarlos con metodologías actuales empleadas bajo el marco de IFRS 17.</w:t>
      </w:r>
    </w:p>
    <w:p w14:paraId="0000005F" w14:textId="77777777" w:rsidR="00E6009A" w:rsidRPr="00EA4C1F" w:rsidRDefault="00E6009A" w:rsidP="00EA4C1F">
      <w:pPr>
        <w:spacing w:after="0" w:line="480" w:lineRule="auto"/>
        <w:jc w:val="both"/>
        <w:rPr>
          <w:rFonts w:ascii="Times New Roman" w:eastAsia="Times New Roman" w:hAnsi="Times New Roman" w:cs="Times New Roman"/>
          <w:color w:val="EE0000"/>
          <w:sz w:val="24"/>
          <w:szCs w:val="24"/>
        </w:rPr>
      </w:pPr>
    </w:p>
    <w:p w14:paraId="00000060" w14:textId="77777777" w:rsidR="00E6009A" w:rsidRPr="00EA4C1F" w:rsidRDefault="00000000" w:rsidP="00EA4C1F">
      <w:pPr>
        <w:pStyle w:val="Heading1"/>
        <w:numPr>
          <w:ilvl w:val="0"/>
          <w:numId w:val="3"/>
        </w:numPr>
      </w:pPr>
      <w:bookmarkStart w:id="15" w:name="_heading=h.an7rhb3ea8nd" w:colFirst="0" w:colLast="0"/>
      <w:bookmarkEnd w:id="15"/>
      <w:r w:rsidRPr="00EA4C1F">
        <w:t>Hipótesis</w:t>
      </w:r>
    </w:p>
    <w:p w14:paraId="00000061" w14:textId="77777777" w:rsidR="00E6009A" w:rsidRPr="00EA4C1F" w:rsidRDefault="00000000" w:rsidP="00EA4C1F">
      <w:p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Los cambios en la normativa no son suficientes para calcular de manera efectiva la reserva de IBNR cuando se la compara contra un estándar internacional para RC Autos.</w:t>
      </w:r>
    </w:p>
    <w:p w14:paraId="00000062" w14:textId="77777777" w:rsidR="00E6009A" w:rsidRPr="00EA4C1F" w:rsidRDefault="00E6009A" w:rsidP="00EA4C1F">
      <w:pPr>
        <w:spacing w:after="0" w:line="480" w:lineRule="auto"/>
        <w:jc w:val="both"/>
        <w:rPr>
          <w:rFonts w:ascii="Times New Roman" w:eastAsia="Times New Roman" w:hAnsi="Times New Roman" w:cs="Times New Roman"/>
          <w:sz w:val="24"/>
          <w:szCs w:val="24"/>
        </w:rPr>
      </w:pPr>
    </w:p>
    <w:bookmarkStart w:id="16" w:name="_heading=h.1ch0m7hzxzdt" w:colFirst="0" w:colLast="0"/>
    <w:bookmarkEnd w:id="16"/>
    <w:p w14:paraId="00000063" w14:textId="77777777" w:rsidR="00E6009A" w:rsidRPr="00EA4C1F" w:rsidRDefault="00000000" w:rsidP="00EA4C1F">
      <w:pPr>
        <w:pStyle w:val="Heading1"/>
        <w:numPr>
          <w:ilvl w:val="0"/>
          <w:numId w:val="3"/>
        </w:numPr>
      </w:pPr>
      <w:sdt>
        <w:sdtPr>
          <w:tag w:val="goog_rdk_10"/>
          <w:id w:val="-10123234"/>
        </w:sdtPr>
        <w:sdtContent>
          <w:commentRangeStart w:id="17"/>
        </w:sdtContent>
      </w:sdt>
      <w:r w:rsidRPr="00EA4C1F">
        <w:t>Marco Teórico</w:t>
      </w:r>
      <w:commentRangeEnd w:id="17"/>
      <w:r w:rsidRPr="00EA4C1F">
        <w:commentReference w:id="17"/>
      </w:r>
    </w:p>
    <w:p w14:paraId="00000064" w14:textId="77777777" w:rsidR="00E6009A" w:rsidRPr="00EA4C1F" w:rsidRDefault="00000000" w:rsidP="00EA4C1F">
      <w:pPr>
        <w:pStyle w:val="Heading1"/>
        <w:numPr>
          <w:ilvl w:val="1"/>
          <w:numId w:val="3"/>
        </w:numPr>
      </w:pPr>
      <w:bookmarkStart w:id="18" w:name="_heading=h.54swck339zre" w:colFirst="0" w:colLast="0"/>
      <w:bookmarkEnd w:id="18"/>
      <w:r w:rsidRPr="00EA4C1F">
        <w:t>Definición de seguro</w:t>
      </w:r>
    </w:p>
    <w:p w14:paraId="00000065" w14:textId="77777777" w:rsidR="00E6009A" w:rsidRPr="00EA4C1F" w:rsidRDefault="00000000" w:rsidP="00EA4C1F">
      <w:p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Según la Ley N.º 17.418, también conocida como Ley de Seguros, el contrato de seguro se define como un acuerdo mediante el cual el asegurador se obliga, por medio del cobro de una prima, a indemnizar o compensar económicamente al asegurado ante la ocurrencia de un evento incierto que genere un daño o pérdida. Dicho acuerdo se formaliza en un documento denominado póliza, que establece las condiciones generales y particulares que regirán la relación contractual entre ambas partes.</w:t>
      </w:r>
    </w:p>
    <w:p w14:paraId="00000066" w14:textId="77777777" w:rsidR="00E6009A" w:rsidRPr="00EA4C1F" w:rsidRDefault="00000000" w:rsidP="00EA4C1F">
      <w:p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El contrato de seguros presenta una serie de características que definen su naturaleza jurídica. En primer lugar, es consensual, ya que se perfecciona por el simple consentimiento de las partes. Es bilateral, ambas partes asumen obligaciones recíprocas: el asegurador cobra la prima y el asegurado mitiga el riesgo económico del evento. Es aleatorio, dado que la ocurrencia o no del evento debe ser incierta. Es oneroso, ya que ambas partes obtienen una prestación en contrapartida, de forma que no se busca el enriquecimiento a través del contrato. Por último, es de adhesión, las condiciones contractuales son fijadas por la aseguradora, quedando el asegurado en posición de aceptarlas o no en su totalidad.</w:t>
      </w:r>
    </w:p>
    <w:p w14:paraId="00000067" w14:textId="77777777" w:rsidR="00E6009A" w:rsidRPr="00EA4C1F" w:rsidRDefault="00000000" w:rsidP="00EA4C1F">
      <w:p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lastRenderedPageBreak/>
        <w:t>En cuanto a sus elementos materiales, el seguro se estructura en torno a tres principales. El primero es el interés asegurable, que representa el deseo legítimo del asegurado en que el siniestro no ocurra. El segundo es el bien asegurado, el cual se define como el objeto sobre el que recae la cobertura garantizada por el seguro. Finalmente, el contrato incluye un capital asegurado, que corresponde al valor atribuido a los bienes cubiertos por el titular del contrato y la máxima indemnización que el asegurador se compromete a pagar en caso de siniestro.</w:t>
      </w:r>
    </w:p>
    <w:p w14:paraId="00000068" w14:textId="77777777" w:rsidR="00E6009A" w:rsidRPr="00EA4C1F" w:rsidRDefault="00000000" w:rsidP="00EA4C1F">
      <w:p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La necesidad de definir previamente estos </w:t>
      </w:r>
      <w:proofErr w:type="gramStart"/>
      <w:r w:rsidRPr="00EA4C1F">
        <w:rPr>
          <w:rFonts w:ascii="Times New Roman" w:eastAsia="Times New Roman" w:hAnsi="Times New Roman" w:cs="Times New Roman"/>
          <w:sz w:val="24"/>
          <w:szCs w:val="24"/>
        </w:rPr>
        <w:t>elementos,</w:t>
      </w:r>
      <w:proofErr w:type="gramEnd"/>
      <w:r w:rsidRPr="00EA4C1F">
        <w:rPr>
          <w:rFonts w:ascii="Times New Roman" w:eastAsia="Times New Roman" w:hAnsi="Times New Roman" w:cs="Times New Roman"/>
          <w:sz w:val="24"/>
          <w:szCs w:val="24"/>
        </w:rPr>
        <w:t xml:space="preserve"> genera una situación donde no hay certeza sobre el costo final del contrato para el asegurador. De esta forma, el asegurador se expone a diferentes riesgos, consecuentes de la naturaleza aleatoria del contrato, como el riesgo de liquidez.  Para solventar esto, las aseguradoras mantienen reservas técnicas con estimaciones sobre sus costos esperados y a los servicios contratados que aún no brindaron, exhibidas en sus Estados Contables como parte del Pasivo.</w:t>
      </w:r>
    </w:p>
    <w:p w14:paraId="00000069" w14:textId="77777777" w:rsidR="00E6009A" w:rsidRPr="00EA4C1F" w:rsidRDefault="00000000" w:rsidP="00EA4C1F">
      <w:pPr>
        <w:spacing w:after="0" w:line="480" w:lineRule="auto"/>
        <w:jc w:val="both"/>
        <w:rPr>
          <w:rFonts w:ascii="Times New Roman" w:eastAsia="Times New Roman" w:hAnsi="Times New Roman" w:cs="Times New Roman"/>
          <w:sz w:val="24"/>
          <w:szCs w:val="24"/>
        </w:rPr>
      </w:pPr>
      <w:sdt>
        <w:sdtPr>
          <w:rPr>
            <w:rFonts w:ascii="Times New Roman" w:hAnsi="Times New Roman" w:cs="Times New Roman"/>
          </w:rPr>
          <w:tag w:val="goog_rdk_11"/>
          <w:id w:val="-1522549499"/>
        </w:sdtPr>
        <w:sdtContent>
          <w:commentRangeStart w:id="19"/>
        </w:sdtContent>
      </w:sdt>
      <w:r w:rsidRPr="00EA4C1F">
        <w:rPr>
          <w:rFonts w:ascii="Times New Roman" w:eastAsia="Times New Roman" w:hAnsi="Times New Roman" w:cs="Times New Roman"/>
          <w:sz w:val="24"/>
          <w:szCs w:val="24"/>
        </w:rPr>
        <w:t xml:space="preserve">El seguro analizado en este </w:t>
      </w:r>
      <w:proofErr w:type="gramStart"/>
      <w:r w:rsidRPr="00EA4C1F">
        <w:rPr>
          <w:rFonts w:ascii="Times New Roman" w:eastAsia="Times New Roman" w:hAnsi="Times New Roman" w:cs="Times New Roman"/>
          <w:sz w:val="24"/>
          <w:szCs w:val="24"/>
        </w:rPr>
        <w:t>trabajo,</w:t>
      </w:r>
      <w:proofErr w:type="gramEnd"/>
      <w:r w:rsidRPr="00EA4C1F">
        <w:rPr>
          <w:rFonts w:ascii="Times New Roman" w:eastAsia="Times New Roman" w:hAnsi="Times New Roman" w:cs="Times New Roman"/>
          <w:sz w:val="24"/>
          <w:szCs w:val="24"/>
        </w:rPr>
        <w:t xml:space="preserve"> es el seguro de responsabilidad civil del ramo automotor (de ahora en más, RC Auto). El mismo es obligatorio en Argentina</w:t>
      </w:r>
      <w:r w:rsidRPr="00EA4C1F">
        <w:rPr>
          <w:rFonts w:ascii="Times New Roman" w:eastAsia="Times New Roman" w:hAnsi="Times New Roman" w:cs="Times New Roman"/>
          <w:sz w:val="24"/>
          <w:szCs w:val="24"/>
          <w:vertAlign w:val="superscript"/>
        </w:rPr>
        <w:footnoteReference w:id="4"/>
      </w:r>
      <w:r w:rsidRPr="00EA4C1F">
        <w:rPr>
          <w:rFonts w:ascii="Times New Roman" w:eastAsia="Times New Roman" w:hAnsi="Times New Roman" w:cs="Times New Roman"/>
          <w:sz w:val="24"/>
          <w:szCs w:val="24"/>
        </w:rPr>
        <w:t xml:space="preserve"> y </w:t>
      </w:r>
      <w:commentRangeEnd w:id="19"/>
      <w:r w:rsidRPr="00EA4C1F">
        <w:rPr>
          <w:rFonts w:ascii="Times New Roman" w:hAnsi="Times New Roman" w:cs="Times New Roman"/>
        </w:rPr>
        <w:commentReference w:id="19"/>
      </w:r>
      <w:r w:rsidRPr="00EA4C1F">
        <w:rPr>
          <w:rFonts w:ascii="Times New Roman" w:eastAsia="Times New Roman" w:hAnsi="Times New Roman" w:cs="Times New Roman"/>
          <w:sz w:val="24"/>
          <w:szCs w:val="24"/>
        </w:rPr>
        <w:t>tiene como objeto, cubrir al asegurado de daños ocasionados a terceras personas o sus bienes por el auto del asegurado, producto de un evento repentino como un accidente automovilístico. Dicho esto, el seguro no cubre gastos médicos ni daños al vehículo del tomador del seguro.</w:t>
      </w:r>
    </w:p>
    <w:p w14:paraId="0000006A" w14:textId="77777777" w:rsidR="00E6009A" w:rsidRPr="00EA4C1F" w:rsidRDefault="00000000" w:rsidP="00EA4C1F">
      <w:p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Existen dos clases de seguros de RC Auto. La primera, es la cobertura Responsabilidad Civil de lesiones personales, que tiene por objeto cubrir los siguientes conceptos: gastos médicos o funerarios; pérdida de ingresos y honorarios legales, resultado de un accidente por culpa del asegurado. Por otro lado, la cobertura de Responsabilidad Civil de </w:t>
      </w:r>
      <w:proofErr w:type="gramStart"/>
      <w:r w:rsidRPr="00EA4C1F">
        <w:rPr>
          <w:rFonts w:ascii="Times New Roman" w:eastAsia="Times New Roman" w:hAnsi="Times New Roman" w:cs="Times New Roman"/>
          <w:sz w:val="24"/>
          <w:szCs w:val="24"/>
        </w:rPr>
        <w:t>Daños,</w:t>
      </w:r>
      <w:proofErr w:type="gramEnd"/>
      <w:r w:rsidRPr="00EA4C1F">
        <w:rPr>
          <w:rFonts w:ascii="Times New Roman" w:eastAsia="Times New Roman" w:hAnsi="Times New Roman" w:cs="Times New Roman"/>
          <w:sz w:val="24"/>
          <w:szCs w:val="24"/>
        </w:rPr>
        <w:t xml:space="preserve"> se centra en la </w:t>
      </w:r>
      <w:r w:rsidRPr="00EA4C1F">
        <w:rPr>
          <w:rFonts w:ascii="Times New Roman" w:eastAsia="Times New Roman" w:hAnsi="Times New Roman" w:cs="Times New Roman"/>
          <w:sz w:val="24"/>
          <w:szCs w:val="24"/>
        </w:rPr>
        <w:lastRenderedPageBreak/>
        <w:t>protección del patrimonio del asegurado ante costos de reparación de daños a la propiedad de otra persona, producto de un accidente por culpa del asegurado.</w:t>
      </w:r>
    </w:p>
    <w:p w14:paraId="0000006B" w14:textId="77777777" w:rsidR="00E6009A" w:rsidRPr="00EA4C1F" w:rsidRDefault="00E6009A" w:rsidP="00EA4C1F">
      <w:pPr>
        <w:spacing w:after="0" w:line="480" w:lineRule="auto"/>
        <w:jc w:val="both"/>
        <w:rPr>
          <w:rFonts w:ascii="Times New Roman" w:eastAsia="Times New Roman" w:hAnsi="Times New Roman" w:cs="Times New Roman"/>
          <w:sz w:val="24"/>
          <w:szCs w:val="24"/>
        </w:rPr>
      </w:pPr>
    </w:p>
    <w:p w14:paraId="0000006C" w14:textId="77777777" w:rsidR="00E6009A" w:rsidRPr="00EA4C1F" w:rsidRDefault="00E6009A" w:rsidP="00EA4C1F">
      <w:pPr>
        <w:spacing w:after="0" w:line="480" w:lineRule="auto"/>
        <w:jc w:val="both"/>
        <w:rPr>
          <w:rFonts w:ascii="Times New Roman" w:eastAsia="Times New Roman" w:hAnsi="Times New Roman" w:cs="Times New Roman"/>
          <w:sz w:val="24"/>
          <w:szCs w:val="24"/>
        </w:rPr>
      </w:pPr>
    </w:p>
    <w:bookmarkStart w:id="20" w:name="_heading=h.ekeqssngm6ol" w:colFirst="0" w:colLast="0"/>
    <w:bookmarkEnd w:id="20"/>
    <w:p w14:paraId="0000006D" w14:textId="77777777" w:rsidR="00E6009A" w:rsidRPr="00EA4C1F" w:rsidRDefault="00000000" w:rsidP="00EA4C1F">
      <w:pPr>
        <w:pStyle w:val="Heading2"/>
        <w:numPr>
          <w:ilvl w:val="1"/>
          <w:numId w:val="3"/>
        </w:numPr>
        <w:spacing w:after="0" w:line="480" w:lineRule="auto"/>
        <w:jc w:val="both"/>
        <w:rPr>
          <w:rFonts w:ascii="Times New Roman" w:eastAsia="Times New Roman" w:hAnsi="Times New Roman" w:cs="Times New Roman"/>
        </w:rPr>
      </w:pPr>
      <w:sdt>
        <w:sdtPr>
          <w:rPr>
            <w:rFonts w:ascii="Times New Roman" w:hAnsi="Times New Roman" w:cs="Times New Roman"/>
          </w:rPr>
          <w:tag w:val="goog_rdk_12"/>
          <w:id w:val="-703250795"/>
        </w:sdtPr>
        <w:sdtContent>
          <w:commentRangeStart w:id="21"/>
        </w:sdtContent>
      </w:sdt>
      <w:r w:rsidRPr="00EA4C1F">
        <w:rPr>
          <w:rFonts w:ascii="Times New Roman" w:eastAsia="Times New Roman" w:hAnsi="Times New Roman" w:cs="Times New Roman"/>
        </w:rPr>
        <w:t>Reservas técnicas</w:t>
      </w:r>
      <w:commentRangeEnd w:id="21"/>
      <w:r w:rsidRPr="00EA4C1F">
        <w:rPr>
          <w:rFonts w:ascii="Times New Roman" w:hAnsi="Times New Roman" w:cs="Times New Roman"/>
        </w:rPr>
        <w:commentReference w:id="21"/>
      </w:r>
    </w:p>
    <w:p w14:paraId="0000006E"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Las reservas técnicas son pasivos que las aseguradoras constituyen para reflejar las obligaciones económicas derivadas de los siniestros asociados a las pólizas vigentes</w:t>
      </w:r>
      <w:r w:rsidRPr="00EA4C1F">
        <w:rPr>
          <w:rFonts w:ascii="Times New Roman" w:eastAsia="Times New Roman" w:hAnsi="Times New Roman" w:cs="Times New Roman"/>
        </w:rPr>
        <w:t xml:space="preserve">. </w:t>
      </w:r>
      <w:r w:rsidRPr="00EA4C1F">
        <w:rPr>
          <w:rFonts w:ascii="Times New Roman" w:eastAsia="Times New Roman" w:hAnsi="Times New Roman" w:cs="Times New Roman"/>
          <w:sz w:val="24"/>
          <w:szCs w:val="24"/>
        </w:rPr>
        <w:t xml:space="preserve">Existen dos grandes grupos: las reservas de prima y las reservas de siniestro. La primera corresponde a compromisos técnicos por el riesgo a futuro, mientras que, la segunda se centra en obligaciones (siniestros) pendientes a resarcir, cuyo monto final aún se desconoce. </w:t>
      </w:r>
    </w:p>
    <w:p w14:paraId="0000006F" w14:textId="77777777" w:rsidR="00E6009A" w:rsidRPr="00EA4C1F" w:rsidRDefault="00000000" w:rsidP="00EA4C1F">
      <w:p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Específicamente, las reservas de prima están comprendidas por los siguientes conceptos: la reserva técnica por insuficiencia de primas, que engloba las estimaciones de desvíos siniestrales a futuro, las reservas de riesgos en curso y reserva matemática, que derivan del servicio vendido de cobertura del riesgo aún no ha sido brindado. </w:t>
      </w:r>
    </w:p>
    <w:p w14:paraId="00000070" w14:textId="77777777" w:rsidR="00E6009A" w:rsidRPr="00EA4C1F" w:rsidRDefault="00000000" w:rsidP="00EA4C1F">
      <w:p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Las reservas de siniestros incluyen todos los costos incurridos sobre aquellos siniestros que han sido </w:t>
      </w:r>
      <w:proofErr w:type="gramStart"/>
      <w:r w:rsidRPr="00EA4C1F">
        <w:rPr>
          <w:rFonts w:ascii="Times New Roman" w:eastAsia="Times New Roman" w:hAnsi="Times New Roman" w:cs="Times New Roman"/>
          <w:sz w:val="24"/>
          <w:szCs w:val="24"/>
        </w:rPr>
        <w:t>reportados</w:t>
      </w:r>
      <w:proofErr w:type="gramEnd"/>
      <w:r w:rsidRPr="00EA4C1F">
        <w:rPr>
          <w:rFonts w:ascii="Times New Roman" w:eastAsia="Times New Roman" w:hAnsi="Times New Roman" w:cs="Times New Roman"/>
          <w:sz w:val="24"/>
          <w:szCs w:val="24"/>
        </w:rPr>
        <w:t xml:space="preserve"> pero no pagados completamente. Se pueden separar en dos grandes grupos: Reserva de Siniestros IBNR y Reserva de Siniestros Pendientes (de ahora en más, RSP). Su principal diferencia es el estado del reclamo. El primer grupo corresponde a los siniestros que se estima ocurrieron, pero aún no se ha solicitado la cobertura </w:t>
      </w:r>
      <w:proofErr w:type="gramStart"/>
      <w:r w:rsidRPr="00EA4C1F">
        <w:rPr>
          <w:rFonts w:ascii="Times New Roman" w:eastAsia="Times New Roman" w:hAnsi="Times New Roman" w:cs="Times New Roman"/>
          <w:sz w:val="24"/>
          <w:szCs w:val="24"/>
        </w:rPr>
        <w:t>del mismo</w:t>
      </w:r>
      <w:proofErr w:type="gramEnd"/>
      <w:r w:rsidRPr="00EA4C1F">
        <w:rPr>
          <w:rFonts w:ascii="Times New Roman" w:eastAsia="Times New Roman" w:hAnsi="Times New Roman" w:cs="Times New Roman"/>
          <w:sz w:val="24"/>
          <w:szCs w:val="24"/>
        </w:rPr>
        <w:t xml:space="preserve">. Está compuesto, a su vez, por dos partes esenciales: Siniestros IBNR Puro y Siniestros </w:t>
      </w:r>
      <w:proofErr w:type="gramStart"/>
      <w:r w:rsidRPr="00EA4C1F">
        <w:rPr>
          <w:rFonts w:ascii="Times New Roman" w:eastAsia="Times New Roman" w:hAnsi="Times New Roman" w:cs="Times New Roman"/>
          <w:sz w:val="24"/>
          <w:szCs w:val="24"/>
        </w:rPr>
        <w:t>incurridos</w:t>
      </w:r>
      <w:proofErr w:type="gramEnd"/>
      <w:r w:rsidRPr="00EA4C1F">
        <w:rPr>
          <w:rFonts w:ascii="Times New Roman" w:eastAsia="Times New Roman" w:hAnsi="Times New Roman" w:cs="Times New Roman"/>
          <w:sz w:val="24"/>
          <w:szCs w:val="24"/>
        </w:rPr>
        <w:t xml:space="preserve"> pero no suficientemente reportados (de ahora en más, IBNER). El IBNR Puro corresponde a la reserva de la variación de siniestros que </w:t>
      </w:r>
      <w:proofErr w:type="gramStart"/>
      <w:r w:rsidRPr="00EA4C1F">
        <w:rPr>
          <w:rFonts w:ascii="Times New Roman" w:eastAsia="Times New Roman" w:hAnsi="Times New Roman" w:cs="Times New Roman"/>
          <w:sz w:val="24"/>
          <w:szCs w:val="24"/>
        </w:rPr>
        <w:t>ocurrieron</w:t>
      </w:r>
      <w:proofErr w:type="gramEnd"/>
      <w:r w:rsidRPr="00EA4C1F">
        <w:rPr>
          <w:rFonts w:ascii="Times New Roman" w:eastAsia="Times New Roman" w:hAnsi="Times New Roman" w:cs="Times New Roman"/>
          <w:sz w:val="24"/>
          <w:szCs w:val="24"/>
        </w:rPr>
        <w:t xml:space="preserve"> pero no se reportaron, mientras que el IBNER cubre la variación de RSP del mismo.</w:t>
      </w:r>
    </w:p>
    <w:p w14:paraId="00000071" w14:textId="77777777" w:rsidR="00E6009A" w:rsidRPr="00EA4C1F" w:rsidRDefault="00000000" w:rsidP="00EA4C1F">
      <w:p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lastRenderedPageBreak/>
        <w:t xml:space="preserve">Un siniestro requiere una RSP luego de reportado y pasa a estar “Pendiente de Liquidación” o “Pendiente de Pago”. El primero ocurre si todavía no se conoce la totalidad de la indemnización, mientras que el segundo ocurre cuando se conoce la </w:t>
      </w:r>
      <w:proofErr w:type="gramStart"/>
      <w:r w:rsidRPr="00EA4C1F">
        <w:rPr>
          <w:rFonts w:ascii="Times New Roman" w:eastAsia="Times New Roman" w:hAnsi="Times New Roman" w:cs="Times New Roman"/>
          <w:sz w:val="24"/>
          <w:szCs w:val="24"/>
        </w:rPr>
        <w:t>indemnización</w:t>
      </w:r>
      <w:proofErr w:type="gramEnd"/>
      <w:r w:rsidRPr="00EA4C1F">
        <w:rPr>
          <w:rFonts w:ascii="Times New Roman" w:eastAsia="Times New Roman" w:hAnsi="Times New Roman" w:cs="Times New Roman"/>
          <w:sz w:val="24"/>
          <w:szCs w:val="24"/>
        </w:rPr>
        <w:t xml:space="preserve"> pero no se llegó a la fecha estimada del pago. Adicionalmente, existe una reserva de siniestro que afecta ambos momentos del proceso del seguro. Esta es la reserva de gastos de liquidación y comprende una estimación de todos los gastos asociados a la liquidación y pago del siniestro, como los ajustes de siniestro o los salarios de los empleados encargados de llevar a cabo el proceso. </w:t>
      </w:r>
    </w:p>
    <w:p w14:paraId="00000072" w14:textId="77777777" w:rsidR="00E6009A" w:rsidRPr="00EA4C1F" w:rsidRDefault="00000000" w:rsidP="00EA4C1F">
      <w:pPr>
        <w:pStyle w:val="Heading2"/>
        <w:numPr>
          <w:ilvl w:val="1"/>
          <w:numId w:val="3"/>
        </w:numPr>
        <w:spacing w:after="0" w:line="480" w:lineRule="auto"/>
        <w:jc w:val="both"/>
        <w:rPr>
          <w:rFonts w:ascii="Times New Roman" w:eastAsia="Times New Roman" w:hAnsi="Times New Roman" w:cs="Times New Roman"/>
        </w:rPr>
      </w:pPr>
      <w:bookmarkStart w:id="22" w:name="_heading=h.sywxxhemoed0" w:colFirst="0" w:colLast="0"/>
      <w:bookmarkEnd w:id="22"/>
      <w:r w:rsidRPr="00EA4C1F">
        <w:rPr>
          <w:rFonts w:ascii="Times New Roman" w:eastAsia="Times New Roman" w:hAnsi="Times New Roman" w:cs="Times New Roman"/>
        </w:rPr>
        <w:t>Situación Actual del Mercado Asegurador</w:t>
      </w:r>
    </w:p>
    <w:p w14:paraId="00000073" w14:textId="77777777" w:rsidR="00E6009A" w:rsidRPr="00EA4C1F" w:rsidRDefault="00000000" w:rsidP="00EA4C1F">
      <w:p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Actualmente,</w:t>
      </w:r>
      <w:r w:rsidRPr="00EA4C1F">
        <w:rPr>
          <w:rFonts w:ascii="Times New Roman" w:eastAsia="Times New Roman" w:hAnsi="Times New Roman" w:cs="Times New Roman"/>
          <w:color w:val="FF0000"/>
          <w:sz w:val="24"/>
          <w:szCs w:val="24"/>
        </w:rPr>
        <w:t xml:space="preserve"> </w:t>
      </w:r>
      <w:r w:rsidRPr="00EA4C1F">
        <w:rPr>
          <w:rFonts w:ascii="Times New Roman" w:eastAsia="Times New Roman" w:hAnsi="Times New Roman" w:cs="Times New Roman"/>
          <w:sz w:val="24"/>
          <w:szCs w:val="24"/>
        </w:rPr>
        <w:t xml:space="preserve">el mercado asegurador argentino atraviesa un contexto caracterizado por alta inflación, presión sobre los márgenes técnicos y necesidad de actualización normativa. La dinámica macroeconómica del país, con tasas anuales de inflación superiores al 200%, generó un entorno complejo para la administración de pasivos a largo plazo, entre ellas, la valuación de reservas </w:t>
      </w:r>
      <w:proofErr w:type="gramStart"/>
      <w:r w:rsidRPr="00EA4C1F">
        <w:rPr>
          <w:rFonts w:ascii="Times New Roman" w:eastAsia="Times New Roman" w:hAnsi="Times New Roman" w:cs="Times New Roman"/>
          <w:sz w:val="24"/>
          <w:szCs w:val="24"/>
        </w:rPr>
        <w:t>y</w:t>
      </w:r>
      <w:proofErr w:type="gramEnd"/>
      <w:r w:rsidRPr="00EA4C1F">
        <w:rPr>
          <w:rFonts w:ascii="Times New Roman" w:eastAsia="Times New Roman" w:hAnsi="Times New Roman" w:cs="Times New Roman"/>
          <w:sz w:val="24"/>
          <w:szCs w:val="24"/>
        </w:rPr>
        <w:t xml:space="preserve"> en consecuencia, la planificación estratégica de las entidades. </w:t>
      </w:r>
    </w:p>
    <w:p w14:paraId="00000074" w14:textId="77777777" w:rsidR="00E6009A" w:rsidRPr="00EA4C1F" w:rsidRDefault="00000000" w:rsidP="00EA4C1F">
      <w:p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Gracias a esto, se desarrolla un contexto de alta competencia, donde los asegurados tienen acceso a múltiples cotizaciones y comparadores en línea, mientras que, las entidades aseguradoras se ven obligadas a mantener tarifas competitivas. En consecuencia, los márgenes técnicos se reducen y pone en riesgo a la rentabilidad estructural y la solvencia del sector. Agravando esta situación, la metodología fijada por la normativa local, no está adaptada para este escenario de estancamiento de Primas y aumento del monto siniestral, resultando usualmente en subestimaciones de las pérdidas por siniestro. </w:t>
      </w:r>
    </w:p>
    <w:p w14:paraId="00000075" w14:textId="77777777" w:rsidR="00E6009A" w:rsidRPr="00EA4C1F" w:rsidRDefault="00000000" w:rsidP="00EA4C1F">
      <w:p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El ramo de Automotores, uno de los principales segmentos del mercado asegurador </w:t>
      </w:r>
      <w:proofErr w:type="spellStart"/>
      <w:proofErr w:type="gramStart"/>
      <w:r w:rsidRPr="00EA4C1F">
        <w:rPr>
          <w:rFonts w:ascii="Times New Roman" w:eastAsia="Times New Roman" w:hAnsi="Times New Roman" w:cs="Times New Roman"/>
          <w:sz w:val="24"/>
          <w:szCs w:val="24"/>
        </w:rPr>
        <w:t>argentino,se</w:t>
      </w:r>
      <w:proofErr w:type="spellEnd"/>
      <w:proofErr w:type="gramEnd"/>
      <w:r w:rsidRPr="00EA4C1F">
        <w:rPr>
          <w:rFonts w:ascii="Times New Roman" w:eastAsia="Times New Roman" w:hAnsi="Times New Roman" w:cs="Times New Roman"/>
          <w:sz w:val="24"/>
          <w:szCs w:val="24"/>
        </w:rPr>
        <w:t xml:space="preserve"> </w:t>
      </w:r>
      <w:proofErr w:type="spellStart"/>
      <w:r w:rsidRPr="00EA4C1F">
        <w:rPr>
          <w:rFonts w:ascii="Times New Roman" w:eastAsia="Times New Roman" w:hAnsi="Times New Roman" w:cs="Times New Roman"/>
          <w:sz w:val="24"/>
          <w:szCs w:val="24"/>
        </w:rPr>
        <w:t>vió</w:t>
      </w:r>
      <w:proofErr w:type="spellEnd"/>
      <w:r w:rsidRPr="00EA4C1F">
        <w:rPr>
          <w:rFonts w:ascii="Times New Roman" w:eastAsia="Times New Roman" w:hAnsi="Times New Roman" w:cs="Times New Roman"/>
          <w:sz w:val="24"/>
          <w:szCs w:val="24"/>
        </w:rPr>
        <w:t xml:space="preserve"> particularmente afectado por el contexto descrito anteriormente. Dentro de él, la cobertura de Responsabilidad Civil Automotor presenta un comportamiento de “cola larga”, dado que los </w:t>
      </w:r>
      <w:r w:rsidRPr="00EA4C1F">
        <w:rPr>
          <w:rFonts w:ascii="Times New Roman" w:eastAsia="Times New Roman" w:hAnsi="Times New Roman" w:cs="Times New Roman"/>
          <w:sz w:val="24"/>
          <w:szCs w:val="24"/>
        </w:rPr>
        <w:lastRenderedPageBreak/>
        <w:t>siniestros requieren varios años para su liquidación definitiva. Tradicionalmente, este ramo exhibe patrones de frecuencia y severidad estables, sin embargo, por las razones previamente detalladas, esto presentemente no se cumple. Actualmente, se experimenta una clara tendencia de aumento de severidad, influido por factores como la inflación y la judicialización de los reclamos. Como consecuencia, los triángulos de desarrollo presentan desvíos atípicos en el tiempo, especialmente en los datos más recientes, producto de shocks inflacionarios o cambios regulatorios.</w:t>
      </w:r>
    </w:p>
    <w:p w14:paraId="00000076" w14:textId="77777777" w:rsidR="00E6009A" w:rsidRPr="00EA4C1F" w:rsidRDefault="00000000" w:rsidP="00EA4C1F">
      <w:pPr>
        <w:spacing w:after="0" w:line="480" w:lineRule="auto"/>
        <w:jc w:val="both"/>
        <w:rPr>
          <w:rFonts w:ascii="Times New Roman" w:eastAsia="Times New Roman" w:hAnsi="Times New Roman" w:cs="Times New Roman"/>
          <w:sz w:val="24"/>
          <w:szCs w:val="24"/>
        </w:rPr>
      </w:pPr>
      <w:sdt>
        <w:sdtPr>
          <w:rPr>
            <w:rFonts w:ascii="Times New Roman" w:hAnsi="Times New Roman" w:cs="Times New Roman"/>
          </w:rPr>
          <w:tag w:val="goog_rdk_13"/>
          <w:id w:val="-1912966208"/>
        </w:sdtPr>
        <w:sdtContent>
          <w:commentRangeStart w:id="23"/>
        </w:sdtContent>
      </w:sdt>
      <w:r w:rsidRPr="00EA4C1F">
        <w:rPr>
          <w:rFonts w:ascii="Times New Roman" w:eastAsia="Times New Roman" w:hAnsi="Times New Roman" w:cs="Times New Roman"/>
          <w:sz w:val="24"/>
          <w:szCs w:val="24"/>
        </w:rPr>
        <w:t>Si bien en Latinoamérica</w:t>
      </w:r>
      <w:commentRangeEnd w:id="23"/>
      <w:r w:rsidRPr="00EA4C1F">
        <w:rPr>
          <w:rFonts w:ascii="Times New Roman" w:hAnsi="Times New Roman" w:cs="Times New Roman"/>
        </w:rPr>
        <w:commentReference w:id="23"/>
      </w:r>
      <w:r w:rsidRPr="00EA4C1F">
        <w:rPr>
          <w:rFonts w:ascii="Times New Roman" w:eastAsia="Times New Roman" w:hAnsi="Times New Roman" w:cs="Times New Roman"/>
          <w:sz w:val="24"/>
          <w:szCs w:val="24"/>
        </w:rPr>
        <w:t xml:space="preserve"> también se observa un aumento leve pero sostenido en la severidad de los siniestros automotores asociado a la inflación, en varios mercados de la región, su impacto tiende a ser más moderado. Esto se explica, en parte, por una mayor capacidad de ajuste tarifario y prácticas de gestión más flexibles, apoyadas en marcos más prudenciales, orientados a solvencia y estándares de trazabilidad y transparencia. En algunos casos, existe además una convergencia hacia normativas internacionales como Solvencia 2 o IFRS 17. En este contexto, los ajustes de precios y de condiciones de suscripción suelen darse con información comparable y de mejor calidad, reduciendo así, descalces que dificulten la solvencia de la compañía y ayudando a mantener patrones de pago y de liquidación relativamente más estables.</w:t>
      </w:r>
    </w:p>
    <w:p w14:paraId="00000077" w14:textId="77777777" w:rsidR="00E6009A" w:rsidRPr="00EA4C1F" w:rsidRDefault="00E6009A" w:rsidP="00EA4C1F">
      <w:pPr>
        <w:spacing w:after="0" w:line="480" w:lineRule="auto"/>
        <w:jc w:val="both"/>
        <w:rPr>
          <w:rFonts w:ascii="Times New Roman" w:eastAsia="Times New Roman" w:hAnsi="Times New Roman" w:cs="Times New Roman"/>
          <w:sz w:val="24"/>
          <w:szCs w:val="24"/>
        </w:rPr>
      </w:pPr>
    </w:p>
    <w:p w14:paraId="00000078" w14:textId="77777777" w:rsidR="00E6009A" w:rsidRPr="00EA4C1F" w:rsidRDefault="00000000" w:rsidP="00EA4C1F">
      <w:p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En Argentina, estas dinámicas son más limitadas. Históricamente, la menor flexibilidad metodológica en la medición de estos patrones contribuyó a agravar el contexto del mercado asegurador argentino. Sin embargo, en estos últimos años, la SSN impulsó diversas resoluciones transitorias orientadas a modernizar la metodología de cálculo de reservas y adecuarla a las condiciones actuales del mercado. Entre ellas, la Resolución 353/2023, introdujo ajustes metodológicos relevantes que sirvieron como base para la elaboración de un modelo más robusto. </w:t>
      </w:r>
      <w:r w:rsidRPr="00EA4C1F">
        <w:rPr>
          <w:rFonts w:ascii="Times New Roman" w:eastAsia="Times New Roman" w:hAnsi="Times New Roman" w:cs="Times New Roman"/>
          <w:sz w:val="24"/>
          <w:szCs w:val="24"/>
        </w:rPr>
        <w:lastRenderedPageBreak/>
        <w:t>Dichos avances culminaron en la Resolución 287/2025, que formaliza los cambios metodológicos y consolida un nuevo esquema técnico dentro del RGAA.</w:t>
      </w:r>
    </w:p>
    <w:p w14:paraId="00000079" w14:textId="77777777" w:rsidR="00E6009A" w:rsidRPr="00EA4C1F" w:rsidRDefault="00E6009A" w:rsidP="00EA4C1F">
      <w:pPr>
        <w:spacing w:after="0" w:line="480" w:lineRule="auto"/>
        <w:jc w:val="both"/>
        <w:rPr>
          <w:rFonts w:ascii="Times New Roman" w:eastAsia="Times New Roman" w:hAnsi="Times New Roman" w:cs="Times New Roman"/>
          <w:sz w:val="24"/>
          <w:szCs w:val="24"/>
        </w:rPr>
      </w:pPr>
    </w:p>
    <w:p w14:paraId="0000007A" w14:textId="77777777" w:rsidR="00E6009A" w:rsidRPr="00EA4C1F" w:rsidRDefault="00000000" w:rsidP="00EA4C1F">
      <w:pPr>
        <w:pStyle w:val="Heading2"/>
        <w:numPr>
          <w:ilvl w:val="1"/>
          <w:numId w:val="3"/>
        </w:numPr>
        <w:spacing w:after="0" w:line="480" w:lineRule="auto"/>
        <w:jc w:val="both"/>
        <w:rPr>
          <w:rFonts w:ascii="Times New Roman" w:eastAsia="Times New Roman" w:hAnsi="Times New Roman" w:cs="Times New Roman"/>
        </w:rPr>
      </w:pPr>
      <w:bookmarkStart w:id="24" w:name="_heading=h.xzo283avbfv4" w:colFirst="0" w:colLast="0"/>
      <w:bookmarkEnd w:id="24"/>
      <w:r w:rsidRPr="00EA4C1F">
        <w:rPr>
          <w:rFonts w:ascii="Times New Roman" w:eastAsia="Times New Roman" w:hAnsi="Times New Roman" w:cs="Times New Roman"/>
        </w:rPr>
        <w:t>Antecedentes de normativas locales</w:t>
      </w:r>
    </w:p>
    <w:p w14:paraId="0000007B" w14:textId="77777777" w:rsidR="00E6009A" w:rsidRPr="00EA4C1F" w:rsidRDefault="00000000" w:rsidP="00EA4C1F">
      <w:pPr>
        <w:pStyle w:val="Heading3"/>
        <w:numPr>
          <w:ilvl w:val="2"/>
          <w:numId w:val="3"/>
        </w:numPr>
        <w:spacing w:before="0" w:after="0" w:line="480" w:lineRule="auto"/>
        <w:ind w:hanging="360"/>
        <w:jc w:val="both"/>
        <w:rPr>
          <w:rFonts w:ascii="Times New Roman" w:eastAsia="Times New Roman" w:hAnsi="Times New Roman" w:cs="Times New Roman"/>
        </w:rPr>
      </w:pPr>
      <w:bookmarkStart w:id="25" w:name="_heading=h.uwo62cs28k2d" w:colFirst="0" w:colLast="0"/>
      <w:bookmarkEnd w:id="25"/>
      <w:r w:rsidRPr="00EA4C1F">
        <w:rPr>
          <w:rFonts w:ascii="Times New Roman" w:eastAsia="Times New Roman" w:hAnsi="Times New Roman" w:cs="Times New Roman"/>
        </w:rPr>
        <w:t>Resolución 287/2025</w:t>
      </w:r>
    </w:p>
    <w:p w14:paraId="0000007C" w14:textId="77777777"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La </w:t>
      </w:r>
      <w:r w:rsidRPr="00EA4C1F">
        <w:rPr>
          <w:rFonts w:ascii="Times New Roman" w:eastAsia="Times New Roman" w:hAnsi="Times New Roman" w:cs="Times New Roman"/>
          <w:color w:val="EE0000"/>
          <w:sz w:val="24"/>
          <w:szCs w:val="24"/>
        </w:rPr>
        <w:t>Resolución 287/2025</w:t>
      </w:r>
      <w:r w:rsidRPr="00EA4C1F">
        <w:rPr>
          <w:rFonts w:ascii="Times New Roman" w:eastAsia="Times New Roman" w:hAnsi="Times New Roman" w:cs="Times New Roman"/>
          <w:sz w:val="24"/>
          <w:szCs w:val="24"/>
        </w:rPr>
        <w:t xml:space="preserve">, dictada por la Superintendencia de Seguros de la Nación, constituye un paso significativo en la modernización del régimen de reservas del mercado asegurador argentino. Esta norma es el resultado de un proceso de revisión técnica, que incluyó propuestas, consultas </w:t>
      </w:r>
      <w:proofErr w:type="gramStart"/>
      <w:r w:rsidRPr="00EA4C1F">
        <w:rPr>
          <w:rFonts w:ascii="Times New Roman" w:eastAsia="Times New Roman" w:hAnsi="Times New Roman" w:cs="Times New Roman"/>
          <w:sz w:val="24"/>
          <w:szCs w:val="24"/>
        </w:rPr>
        <w:t>y  análisis</w:t>
      </w:r>
      <w:proofErr w:type="gramEnd"/>
      <w:r w:rsidRPr="00EA4C1F">
        <w:rPr>
          <w:rFonts w:ascii="Times New Roman" w:eastAsia="Times New Roman" w:hAnsi="Times New Roman" w:cs="Times New Roman"/>
          <w:sz w:val="24"/>
          <w:szCs w:val="24"/>
        </w:rPr>
        <w:t xml:space="preserve"> conjunto con distintas entidades aseguradoras.</w:t>
      </w:r>
    </w:p>
    <w:p w14:paraId="0000007D" w14:textId="77777777"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Su objetivo es actualizar los criterios de estimación de reservas por siniestros, incorporando así, parámetros más representativos de la realidad económica. Entre sus principales aportes destacan: la inclusión de un factor de actualización atado a la inflación para el cálculo de IBNR, la redefinición de algunos criterios de valuación para siniestros judicializados y mayor exigencia de trazabilidad en los datos utilizados.</w:t>
      </w:r>
    </w:p>
    <w:p w14:paraId="0000007E" w14:textId="77777777"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De esta forma, la resolución busca fortalecer la suficiencia y transparencia de las reservas técnicas, flexibilizando la normativa local y promoviendo una gestión más prudencial y consistente del riesgo en el sistema asegurador argentino.</w:t>
      </w:r>
    </w:p>
    <w:p w14:paraId="0000007F" w14:textId="77777777" w:rsidR="00E6009A" w:rsidRPr="00EA4C1F" w:rsidRDefault="00000000" w:rsidP="00EA4C1F">
      <w:pPr>
        <w:pStyle w:val="Heading2"/>
        <w:numPr>
          <w:ilvl w:val="1"/>
          <w:numId w:val="3"/>
        </w:numPr>
        <w:spacing w:before="0" w:after="0" w:line="480" w:lineRule="auto"/>
        <w:jc w:val="both"/>
        <w:rPr>
          <w:rFonts w:ascii="Times New Roman" w:eastAsia="Times New Roman" w:hAnsi="Times New Roman" w:cs="Times New Roman"/>
        </w:rPr>
      </w:pPr>
      <w:bookmarkStart w:id="26" w:name="_heading=h.ggwtpwm0zqbj" w:colFirst="0" w:colLast="0"/>
      <w:bookmarkEnd w:id="26"/>
      <w:r w:rsidRPr="00EA4C1F">
        <w:rPr>
          <w:rFonts w:ascii="Times New Roman" w:eastAsia="Times New Roman" w:hAnsi="Times New Roman" w:cs="Times New Roman"/>
        </w:rPr>
        <w:t>Antecedentes de normativas internacionales</w:t>
      </w:r>
    </w:p>
    <w:p w14:paraId="00000080"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En el ámbito internacional, la regulación de los contratos de seguros estuvo históricamente impulsada por la necesidad de estandarizar los estados contables para mejorar su trazabilidad y comparabilidad entre países. Previamente, las aseguradoras aplicaban metodologías propias y en </w:t>
      </w:r>
      <w:r w:rsidRPr="00EA4C1F">
        <w:rPr>
          <w:rFonts w:ascii="Times New Roman" w:eastAsia="Times New Roman" w:hAnsi="Times New Roman" w:cs="Times New Roman"/>
          <w:sz w:val="24"/>
          <w:szCs w:val="24"/>
        </w:rPr>
        <w:lastRenderedPageBreak/>
        <w:t xml:space="preserve">muchos casos incompatibles entre sí. Esto dificultó la evaluación de su situación financiera y su desempeño contra entidades de otras jurisdicciones. Ante esta situación, el </w:t>
      </w:r>
      <w:r w:rsidRPr="00EA4C1F">
        <w:rPr>
          <w:rFonts w:ascii="Times New Roman" w:eastAsia="Times New Roman" w:hAnsi="Times New Roman" w:cs="Times New Roman"/>
          <w:i/>
          <w:iCs/>
          <w:sz w:val="24"/>
          <w:szCs w:val="24"/>
        </w:rPr>
        <w:t xml:space="preserve">International </w:t>
      </w:r>
      <w:proofErr w:type="spellStart"/>
      <w:r w:rsidRPr="00EA4C1F">
        <w:rPr>
          <w:rFonts w:ascii="Times New Roman" w:eastAsia="Times New Roman" w:hAnsi="Times New Roman" w:cs="Times New Roman"/>
          <w:i/>
          <w:iCs/>
          <w:sz w:val="24"/>
          <w:szCs w:val="24"/>
        </w:rPr>
        <w:t>Accounting</w:t>
      </w:r>
      <w:proofErr w:type="spellEnd"/>
      <w:r w:rsidRPr="00EA4C1F">
        <w:rPr>
          <w:rFonts w:ascii="Times New Roman" w:eastAsia="Times New Roman" w:hAnsi="Times New Roman" w:cs="Times New Roman"/>
          <w:i/>
          <w:iCs/>
          <w:sz w:val="24"/>
          <w:szCs w:val="24"/>
        </w:rPr>
        <w:t xml:space="preserve"> </w:t>
      </w:r>
      <w:proofErr w:type="spellStart"/>
      <w:r w:rsidRPr="00EA4C1F">
        <w:rPr>
          <w:rFonts w:ascii="Times New Roman" w:eastAsia="Times New Roman" w:hAnsi="Times New Roman" w:cs="Times New Roman"/>
          <w:i/>
          <w:iCs/>
          <w:sz w:val="24"/>
          <w:szCs w:val="24"/>
        </w:rPr>
        <w:t>Standards</w:t>
      </w:r>
      <w:proofErr w:type="spellEnd"/>
      <w:r w:rsidRPr="00EA4C1F">
        <w:rPr>
          <w:rFonts w:ascii="Times New Roman" w:eastAsia="Times New Roman" w:hAnsi="Times New Roman" w:cs="Times New Roman"/>
          <w:i/>
          <w:iCs/>
          <w:sz w:val="24"/>
          <w:szCs w:val="24"/>
        </w:rPr>
        <w:t xml:space="preserve"> Board</w:t>
      </w:r>
      <w:r w:rsidRPr="00EA4C1F">
        <w:rPr>
          <w:rFonts w:ascii="Times New Roman" w:eastAsia="Times New Roman" w:hAnsi="Times New Roman" w:cs="Times New Roman"/>
          <w:sz w:val="24"/>
          <w:szCs w:val="24"/>
        </w:rPr>
        <w:t xml:space="preserve"> (IASB) emitió inicialmente los IFRS 4 como una norma transitoria, lo que permitió ordenar parcialmente el sector mientras desarrollaba un marco más completo. Luego, esta norma fue reemplazada por la IFRS 17, que establece los principios conceptuales unificados y actuales para la medición de los contratos de seguros.</w:t>
      </w:r>
    </w:p>
    <w:p w14:paraId="00000081"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Ambas normas comparten los propósitos de homogeneizar los criterios de valuación, exigir transparencia y promover un enfoque que refleje con mayor exactitud posible el riesgo que asumen las aseguradoras.</w:t>
      </w:r>
    </w:p>
    <w:p w14:paraId="00000082" w14:textId="77777777" w:rsidR="00E6009A" w:rsidRPr="00EA4C1F" w:rsidRDefault="00000000" w:rsidP="00EA4C1F">
      <w:pPr>
        <w:pStyle w:val="Heading3"/>
        <w:numPr>
          <w:ilvl w:val="2"/>
          <w:numId w:val="3"/>
        </w:numPr>
        <w:spacing w:line="480" w:lineRule="auto"/>
        <w:ind w:hanging="360"/>
        <w:jc w:val="both"/>
        <w:rPr>
          <w:rFonts w:ascii="Times New Roman" w:eastAsia="Times New Roman" w:hAnsi="Times New Roman" w:cs="Times New Roman"/>
        </w:rPr>
      </w:pPr>
      <w:bookmarkStart w:id="27" w:name="_heading=h.829dexgve7j7" w:colFirst="0" w:colLast="0"/>
      <w:bookmarkEnd w:id="27"/>
      <w:r w:rsidRPr="00EA4C1F">
        <w:rPr>
          <w:rFonts w:ascii="Times New Roman" w:eastAsia="Times New Roman" w:hAnsi="Times New Roman" w:cs="Times New Roman"/>
        </w:rPr>
        <w:t>IFRS 17</w:t>
      </w:r>
    </w:p>
    <w:p w14:paraId="00000083" w14:textId="77777777" w:rsidR="00E6009A" w:rsidRPr="00EA4C1F" w:rsidRDefault="00000000" w:rsidP="00EA4C1F">
      <w:p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La norma IFRS 17, emitida en 2017 y de aplicación obligatoria desde 2023, constituye el marco contable internacional actual para la medición de los contratos de seguros. Al igual que su predecesora, no impone una metodología específica para el cálculo de reservas, sino que define principios y lineamientos que deben cumplirse independientemente del modelo actuarial elegido. Esta flexibilidad permite la aplicación de enfoques determinísticos o estocásticos, siempre que los resultados sean coherentes con los criterios de medición económica exigidos por la norma.</w:t>
      </w:r>
    </w:p>
    <w:p w14:paraId="00000084" w14:textId="77777777"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La IFRS 17 introduce varias innovaciones sobre la IFRS 4. En el contexto de este trabajo, las más importantes radican en:</w:t>
      </w:r>
    </w:p>
    <w:p w14:paraId="00000085" w14:textId="77777777" w:rsidR="00E6009A" w:rsidRPr="00EA4C1F" w:rsidRDefault="00000000" w:rsidP="00EA4C1F">
      <w:pPr>
        <w:numPr>
          <w:ilvl w:val="0"/>
          <w:numId w:val="2"/>
        </w:numPr>
        <w:spacing w:before="240"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La segmentación de contratos de seguro.</w:t>
      </w:r>
    </w:p>
    <w:p w14:paraId="00000086" w14:textId="77777777" w:rsidR="00E6009A" w:rsidRPr="00EA4C1F" w:rsidRDefault="00000000" w:rsidP="00EA4C1F">
      <w:pPr>
        <w:numPr>
          <w:ilvl w:val="0"/>
          <w:numId w:val="2"/>
        </w:num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El concepto de valuación del pasivo como el valor esperado de los flujos de efectivo futuros.</w:t>
      </w:r>
    </w:p>
    <w:p w14:paraId="00000087" w14:textId="77777777" w:rsidR="00E6009A" w:rsidRPr="00EA4C1F" w:rsidRDefault="00000000" w:rsidP="00EA4C1F">
      <w:pPr>
        <w:numPr>
          <w:ilvl w:val="0"/>
          <w:numId w:val="2"/>
        </w:numPr>
        <w:spacing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los modelos de medición para los flujos futuros.</w:t>
      </w:r>
    </w:p>
    <w:p w14:paraId="00000088" w14:textId="77777777"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lastRenderedPageBreak/>
        <w:t xml:space="preserve">Con respecto al primero, la norma exige que los contratos se organicen en carteras, las cuales se definen como: grupos de contratos que presentan riesgos similares y se gestionan de manera conjunta. Cada cartera debe subdividirse en tres grupos: contratos onerosos al reconocimiento inicial, contratos sin posibilidad significativa de volverse onerosos, y el resto de los contratos. Además, permite crear divisiones adicionales por fecha de emisión, duración o nivel de riesgo. Esta segmentación evita la compensación entre contratos con diferente rentabilidad y riesgos heterogéneos, ayudando a la transparencia en el reconocimiento del resultado. </w:t>
      </w:r>
    </w:p>
    <w:p w14:paraId="00000089" w14:textId="77777777"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El segundo punto, hace referencia a que el valor de un contrato de seguros se corresponde con la mejor estimación de los flujos </w:t>
      </w:r>
      <w:proofErr w:type="gramStart"/>
      <w:r w:rsidRPr="00EA4C1F">
        <w:rPr>
          <w:rFonts w:ascii="Times New Roman" w:eastAsia="Times New Roman" w:hAnsi="Times New Roman" w:cs="Times New Roman"/>
          <w:sz w:val="24"/>
          <w:szCs w:val="24"/>
        </w:rPr>
        <w:t>del mismo</w:t>
      </w:r>
      <w:proofErr w:type="gramEnd"/>
      <w:r w:rsidRPr="00EA4C1F">
        <w:rPr>
          <w:rFonts w:ascii="Times New Roman" w:eastAsia="Times New Roman" w:hAnsi="Times New Roman" w:cs="Times New Roman"/>
          <w:sz w:val="24"/>
          <w:szCs w:val="24"/>
        </w:rPr>
        <w:t xml:space="preserve">, descontados (opcionalmente) a una tasa libre de riesgo ajustada por iliquidez. A su vez, se exige la adición de un ajuste por riesgo no financiero (Risk </w:t>
      </w:r>
      <w:proofErr w:type="spellStart"/>
      <w:r w:rsidRPr="00EA4C1F">
        <w:rPr>
          <w:rFonts w:ascii="Times New Roman" w:eastAsia="Times New Roman" w:hAnsi="Times New Roman" w:cs="Times New Roman"/>
          <w:sz w:val="24"/>
          <w:szCs w:val="24"/>
        </w:rPr>
        <w:t>Adjustment</w:t>
      </w:r>
      <w:proofErr w:type="spellEnd"/>
      <w:r w:rsidRPr="00EA4C1F">
        <w:rPr>
          <w:rFonts w:ascii="Times New Roman" w:eastAsia="Times New Roman" w:hAnsi="Times New Roman" w:cs="Times New Roman"/>
          <w:sz w:val="24"/>
          <w:szCs w:val="24"/>
        </w:rPr>
        <w:t xml:space="preserve">), el cual, debe reflejar la incertidumbre de la variación de los flujos futuros de la cartera. Todo esto resulta en una valuación que no solo reconoce el valor tiempo-dinero de los flujos, sino también, la existencia de posibles desvíos futuros. Adicionalmente, se incorpora el concepto del Margen de Servicio Contractual (de ahora en más, CSM), que regula la forma en que se reconoce la rentabilidad de los contratos a lo largo del tiempo. En lugar de permitir el reconocimiento inmediato de ganancias al inicio del contrato, el CSM distribuye la rentabilidad a lo largo de su </w:t>
      </w:r>
      <w:proofErr w:type="gramStart"/>
      <w:r w:rsidRPr="00EA4C1F">
        <w:rPr>
          <w:rFonts w:ascii="Times New Roman" w:eastAsia="Times New Roman" w:hAnsi="Times New Roman" w:cs="Times New Roman"/>
          <w:sz w:val="24"/>
          <w:szCs w:val="24"/>
        </w:rPr>
        <w:t>vida  mediante</w:t>
      </w:r>
      <w:proofErr w:type="gramEnd"/>
      <w:r w:rsidRPr="00EA4C1F">
        <w:rPr>
          <w:rFonts w:ascii="Times New Roman" w:eastAsia="Times New Roman" w:hAnsi="Times New Roman" w:cs="Times New Roman"/>
          <w:sz w:val="24"/>
          <w:szCs w:val="24"/>
        </w:rPr>
        <w:t xml:space="preserve"> un roll-forward que ajusta los resultados año a año.</w:t>
      </w:r>
    </w:p>
    <w:p w14:paraId="0000008A" w14:textId="77777777"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Por último, la IFRS 17 define tres modelos de medición de pasivo según la naturaleza del contrato. El enfoque general, conocido como Building Block </w:t>
      </w:r>
      <w:proofErr w:type="spellStart"/>
      <w:r w:rsidRPr="00EA4C1F">
        <w:rPr>
          <w:rFonts w:ascii="Times New Roman" w:eastAsia="Times New Roman" w:hAnsi="Times New Roman" w:cs="Times New Roman"/>
          <w:sz w:val="24"/>
          <w:szCs w:val="24"/>
        </w:rPr>
        <w:t>Approach</w:t>
      </w:r>
      <w:proofErr w:type="spellEnd"/>
      <w:r w:rsidRPr="00EA4C1F">
        <w:rPr>
          <w:rFonts w:ascii="Times New Roman" w:eastAsia="Times New Roman" w:hAnsi="Times New Roman" w:cs="Times New Roman"/>
          <w:sz w:val="24"/>
          <w:szCs w:val="24"/>
        </w:rPr>
        <w:t xml:space="preserve"> (de ahora en más, BBA), se utiliza para la mayoría de los contratos y se basa en cuatro componentes: </w:t>
      </w:r>
    </w:p>
    <w:p w14:paraId="0000008B" w14:textId="77777777" w:rsidR="00E6009A" w:rsidRPr="00EA4C1F" w:rsidRDefault="00000000" w:rsidP="00EA4C1F">
      <w:pPr>
        <w:numPr>
          <w:ilvl w:val="0"/>
          <w:numId w:val="16"/>
        </w:numPr>
        <w:spacing w:before="240"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Estimación de los flujos futuros</w:t>
      </w:r>
    </w:p>
    <w:p w14:paraId="0000008C" w14:textId="77777777" w:rsidR="00E6009A" w:rsidRPr="00EA4C1F" w:rsidRDefault="00000000" w:rsidP="00EA4C1F">
      <w:pPr>
        <w:numPr>
          <w:ilvl w:val="0"/>
          <w:numId w:val="16"/>
        </w:num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Tasa de descuento </w:t>
      </w:r>
    </w:p>
    <w:p w14:paraId="0000008D" w14:textId="77777777" w:rsidR="00E6009A" w:rsidRPr="00EA4C1F" w:rsidRDefault="00000000" w:rsidP="00EA4C1F">
      <w:pPr>
        <w:numPr>
          <w:ilvl w:val="0"/>
          <w:numId w:val="16"/>
        </w:num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lastRenderedPageBreak/>
        <w:t>Ajuste por riesgo</w:t>
      </w:r>
    </w:p>
    <w:p w14:paraId="0000008E" w14:textId="77777777" w:rsidR="00E6009A" w:rsidRPr="00EA4C1F" w:rsidRDefault="00000000" w:rsidP="00EA4C1F">
      <w:pPr>
        <w:numPr>
          <w:ilvl w:val="0"/>
          <w:numId w:val="16"/>
        </w:numPr>
        <w:spacing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CSM. </w:t>
      </w:r>
    </w:p>
    <w:p w14:paraId="0000008F" w14:textId="77777777"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Para contratos de cobertura de corto plazo (menores a un año), se permite un esquema simplificado denominado Premium </w:t>
      </w:r>
      <w:proofErr w:type="spellStart"/>
      <w:r w:rsidRPr="00EA4C1F">
        <w:rPr>
          <w:rFonts w:ascii="Times New Roman" w:eastAsia="Times New Roman" w:hAnsi="Times New Roman" w:cs="Times New Roman"/>
          <w:sz w:val="24"/>
          <w:szCs w:val="24"/>
        </w:rPr>
        <w:t>Allocation</w:t>
      </w:r>
      <w:proofErr w:type="spellEnd"/>
      <w:r w:rsidRPr="00EA4C1F">
        <w:rPr>
          <w:rFonts w:ascii="Times New Roman" w:eastAsia="Times New Roman" w:hAnsi="Times New Roman" w:cs="Times New Roman"/>
          <w:sz w:val="24"/>
          <w:szCs w:val="24"/>
        </w:rPr>
        <w:t xml:space="preserve"> </w:t>
      </w:r>
      <w:proofErr w:type="spellStart"/>
      <w:r w:rsidRPr="00EA4C1F">
        <w:rPr>
          <w:rFonts w:ascii="Times New Roman" w:eastAsia="Times New Roman" w:hAnsi="Times New Roman" w:cs="Times New Roman"/>
          <w:sz w:val="24"/>
          <w:szCs w:val="24"/>
        </w:rPr>
        <w:t>Approach</w:t>
      </w:r>
      <w:proofErr w:type="spellEnd"/>
      <w:r w:rsidRPr="00EA4C1F">
        <w:rPr>
          <w:rFonts w:ascii="Times New Roman" w:eastAsia="Times New Roman" w:hAnsi="Times New Roman" w:cs="Times New Roman"/>
          <w:sz w:val="24"/>
          <w:szCs w:val="24"/>
        </w:rPr>
        <w:t xml:space="preserve"> (de ahora en más, PAA), siempre y cuando produzca resultados no materialmente distintos del BBA. La ventaja de este modelo, además de la simplicidad, es la exención del cálculo del CSM. Finalmente, el Variable Fee </w:t>
      </w:r>
      <w:proofErr w:type="spellStart"/>
      <w:r w:rsidRPr="00EA4C1F">
        <w:rPr>
          <w:rFonts w:ascii="Times New Roman" w:eastAsia="Times New Roman" w:hAnsi="Times New Roman" w:cs="Times New Roman"/>
          <w:sz w:val="24"/>
          <w:szCs w:val="24"/>
        </w:rPr>
        <w:t>Approach</w:t>
      </w:r>
      <w:proofErr w:type="spellEnd"/>
      <w:r w:rsidRPr="00EA4C1F">
        <w:rPr>
          <w:rFonts w:ascii="Times New Roman" w:eastAsia="Times New Roman" w:hAnsi="Times New Roman" w:cs="Times New Roman"/>
          <w:sz w:val="24"/>
          <w:szCs w:val="24"/>
        </w:rPr>
        <w:t xml:space="preserve"> (de ahora en más, VFA) se utiliza para contratos con participación en el rendimiento de activos subyacentes, siendo su característica principal, el ajuste por cambios en el valor de los activos y del pasivo correspondiente.</w:t>
      </w:r>
    </w:p>
    <w:p w14:paraId="00000090" w14:textId="77777777"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La IFRS 17 representa un cambio conceptual respecto del enfoque tradicional del RGAA, al requerir una medición exhaustiva del riesgo y coherencia financiera para la valuación de los pasivos de la aseguradora. Para este trabajo, se utilizará el modelo BBA como marco para la comparación del pasivo entre normativas ya que es el que más se asemeja a la normativa local.</w:t>
      </w:r>
    </w:p>
    <w:bookmarkStart w:id="28" w:name="_heading=h.tjxmpsn686xo" w:colFirst="0" w:colLast="0"/>
    <w:bookmarkEnd w:id="28"/>
    <w:p w14:paraId="00000091" w14:textId="77777777" w:rsidR="00E6009A" w:rsidRPr="00EA4C1F" w:rsidRDefault="00000000" w:rsidP="00EA4C1F">
      <w:pPr>
        <w:pStyle w:val="Heading1"/>
        <w:numPr>
          <w:ilvl w:val="0"/>
          <w:numId w:val="3"/>
        </w:numPr>
        <w:spacing w:before="240"/>
        <w:ind w:left="708"/>
      </w:pPr>
      <w:sdt>
        <w:sdtPr>
          <w:tag w:val="goog_rdk_14"/>
          <w:id w:val="-368950861"/>
        </w:sdtPr>
        <w:sdtContent>
          <w:commentRangeStart w:id="29"/>
        </w:sdtContent>
      </w:sdt>
      <w:sdt>
        <w:sdtPr>
          <w:tag w:val="goog_rdk_15"/>
          <w:id w:val="1311397160"/>
        </w:sdtPr>
        <w:sdtContent>
          <w:commentRangeStart w:id="30"/>
        </w:sdtContent>
      </w:sdt>
      <w:r w:rsidRPr="00EA4C1F">
        <w:t>Marco Metodológico</w:t>
      </w:r>
      <w:commentRangeEnd w:id="29"/>
      <w:r w:rsidRPr="00EA4C1F">
        <w:commentReference w:id="29"/>
      </w:r>
      <w:commentRangeEnd w:id="30"/>
      <w:r w:rsidRPr="00EA4C1F">
        <w:commentReference w:id="30"/>
      </w:r>
    </w:p>
    <w:p w14:paraId="00000092" w14:textId="77777777" w:rsidR="00E6009A" w:rsidRPr="00EA4C1F" w:rsidRDefault="00000000" w:rsidP="00EA4C1F">
      <w:pPr>
        <w:pStyle w:val="Heading1"/>
        <w:numPr>
          <w:ilvl w:val="1"/>
          <w:numId w:val="3"/>
        </w:numPr>
        <w:rPr>
          <w:sz w:val="30"/>
          <w:szCs w:val="30"/>
        </w:rPr>
      </w:pPr>
      <w:bookmarkStart w:id="31" w:name="_heading=h.bh6f32adzh3g" w:colFirst="0" w:colLast="0"/>
      <w:bookmarkEnd w:id="31"/>
      <w:r w:rsidRPr="00EA4C1F">
        <w:rPr>
          <w:sz w:val="30"/>
          <w:szCs w:val="30"/>
        </w:rPr>
        <w:t>Base de Datos</w:t>
      </w:r>
    </w:p>
    <w:p w14:paraId="00000093" w14:textId="77777777" w:rsidR="00E6009A" w:rsidRPr="00EA4C1F" w:rsidRDefault="00000000" w:rsidP="00EA4C1F">
      <w:pPr>
        <w:pStyle w:val="Heading1"/>
        <w:numPr>
          <w:ilvl w:val="2"/>
          <w:numId w:val="3"/>
        </w:numPr>
        <w:ind w:hanging="360"/>
        <w:rPr>
          <w:sz w:val="24"/>
          <w:szCs w:val="24"/>
        </w:rPr>
      </w:pPr>
      <w:bookmarkStart w:id="32" w:name="_heading=h.al69yks4jw3j" w:colFirst="0" w:colLast="0"/>
      <w:bookmarkEnd w:id="32"/>
      <w:r w:rsidRPr="00EA4C1F">
        <w:rPr>
          <w:sz w:val="28"/>
          <w:szCs w:val="28"/>
        </w:rPr>
        <w:t>Base de Siniestros</w:t>
      </w:r>
    </w:p>
    <w:p w14:paraId="00000094"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Para llevar a cabo el análisis, se utilizaron las bases de Desarrollo de Siniestros Automotores provista por la SSN</w:t>
      </w:r>
      <w:r w:rsidRPr="00EA4C1F">
        <w:rPr>
          <w:rFonts w:ascii="Times New Roman" w:eastAsia="Times New Roman" w:hAnsi="Times New Roman" w:cs="Times New Roman"/>
          <w:sz w:val="24"/>
          <w:szCs w:val="24"/>
          <w:vertAlign w:val="superscript"/>
        </w:rPr>
        <w:footnoteReference w:id="5"/>
      </w:r>
      <w:r w:rsidRPr="00EA4C1F">
        <w:rPr>
          <w:rFonts w:ascii="Times New Roman" w:eastAsia="Times New Roman" w:hAnsi="Times New Roman" w:cs="Times New Roman"/>
          <w:sz w:val="24"/>
          <w:szCs w:val="24"/>
        </w:rPr>
        <w:t xml:space="preserve"> para el</w:t>
      </w:r>
      <w:r w:rsidRPr="00EA4C1F">
        <w:rPr>
          <w:rFonts w:ascii="Times New Roman" w:eastAsia="Times New Roman" w:hAnsi="Times New Roman" w:cs="Times New Roman"/>
          <w:color w:val="EE0000"/>
          <w:sz w:val="24"/>
          <w:szCs w:val="24"/>
        </w:rPr>
        <w:t xml:space="preserve"> periodo 2023/2024</w:t>
      </w:r>
      <w:r w:rsidRPr="00EA4C1F">
        <w:rPr>
          <w:rFonts w:ascii="Times New Roman" w:eastAsia="Times New Roman" w:hAnsi="Times New Roman" w:cs="Times New Roman"/>
          <w:sz w:val="24"/>
          <w:szCs w:val="24"/>
        </w:rPr>
        <w:t xml:space="preserve">. La misma, utiliza información basada en los datos ingresados por las aseguradoras a través del sistema </w:t>
      </w:r>
      <w:proofErr w:type="spellStart"/>
      <w:r w:rsidRPr="00EA4C1F">
        <w:rPr>
          <w:rFonts w:ascii="Times New Roman" w:eastAsia="Times New Roman" w:hAnsi="Times New Roman" w:cs="Times New Roman"/>
          <w:sz w:val="24"/>
          <w:szCs w:val="24"/>
        </w:rPr>
        <w:t>PrismaNET</w:t>
      </w:r>
      <w:proofErr w:type="spellEnd"/>
      <w:r w:rsidRPr="00EA4C1F">
        <w:rPr>
          <w:rFonts w:ascii="Times New Roman" w:eastAsia="Times New Roman" w:hAnsi="Times New Roman" w:cs="Times New Roman"/>
          <w:sz w:val="24"/>
          <w:szCs w:val="24"/>
        </w:rPr>
        <w:t xml:space="preserve">, compilada como un archivo Excel. Contiene información anual sobre los montos agregados de siniestros incurridos, </w:t>
      </w:r>
      <w:r w:rsidRPr="00EA4C1F">
        <w:rPr>
          <w:rFonts w:ascii="Times New Roman" w:eastAsia="Times New Roman" w:hAnsi="Times New Roman" w:cs="Times New Roman"/>
          <w:sz w:val="24"/>
          <w:szCs w:val="24"/>
        </w:rPr>
        <w:lastRenderedPageBreak/>
        <w:t xml:space="preserve">desagregada por: ramo, año de ocurrencia y período de desarrollo. Esto último, se refiere al periodo en el cual se registra el monto, aun cuando el siniestro haya ocurrido en una fecha anterior. Adicionalmente, dichos valores se encuentran expresados en moneda corriente, correspondientes al momento del cierre del ejercicio informado por la SSN. </w:t>
      </w:r>
    </w:p>
    <w:p w14:paraId="00000095"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La estructura del archivo incluye diversas pestañas que cumplen funciones específicas: una sección de índice, un glosario de definiciones, los triángulos siniestrales consolidados y varias hojas adicionales que contienen la información utilizada para construir dichos triángulos. En estas últimas hojas, los datos se encuentran separados por año de ocurrencia.</w:t>
      </w:r>
    </w:p>
    <w:p w14:paraId="00000096"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El alcance de la información para este periodo (2023/2024) se limita a una muestra de 19 aseguradoras, las cuales acumulan un 83% de la producción del ramo automotor y un 72% de los vehículos expuestos a riesgo. Asimismo, los valores correspondientes a los ejercicios 2019/2020 y 2020/2021 contienen el impacto de la pandemia del coronavirus COVID-19 y las consecuentes medidas de prevención dispuestas por el Gobierno Argentino a partir del 19/03/2020.</w:t>
      </w:r>
    </w:p>
    <w:p w14:paraId="00000097" w14:textId="77777777" w:rsidR="00E6009A" w:rsidRPr="00EA4C1F" w:rsidRDefault="00000000" w:rsidP="00EA4C1F">
      <w:pPr>
        <w:pStyle w:val="Heading3"/>
        <w:numPr>
          <w:ilvl w:val="2"/>
          <w:numId w:val="3"/>
        </w:numPr>
        <w:spacing w:line="480" w:lineRule="auto"/>
        <w:ind w:hanging="360"/>
        <w:jc w:val="both"/>
        <w:rPr>
          <w:rFonts w:ascii="Times New Roman" w:hAnsi="Times New Roman" w:cs="Times New Roman"/>
        </w:rPr>
      </w:pPr>
      <w:bookmarkStart w:id="33" w:name="_heading=h.ol6mfvbjirnr" w:colFirst="0" w:colLast="0"/>
      <w:bookmarkEnd w:id="33"/>
      <w:r w:rsidRPr="00EA4C1F">
        <w:rPr>
          <w:rFonts w:ascii="Times New Roman" w:hAnsi="Times New Roman" w:cs="Times New Roman"/>
        </w:rPr>
        <w:t>Segmentaciones y supuestos sobre la base de datos</w:t>
      </w:r>
    </w:p>
    <w:p w14:paraId="00000098"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Para este trabajo, se utilizó una partición de la base de datos, dado que, únicamente se busca analizar el </w:t>
      </w:r>
      <w:proofErr w:type="gramStart"/>
      <w:r w:rsidRPr="00EA4C1F">
        <w:rPr>
          <w:rFonts w:ascii="Times New Roman" w:eastAsia="Times New Roman" w:hAnsi="Times New Roman" w:cs="Times New Roman"/>
          <w:sz w:val="24"/>
          <w:szCs w:val="24"/>
        </w:rPr>
        <w:t>sub ramo</w:t>
      </w:r>
      <w:proofErr w:type="gramEnd"/>
      <w:r w:rsidRPr="00EA4C1F">
        <w:rPr>
          <w:rFonts w:ascii="Times New Roman" w:eastAsia="Times New Roman" w:hAnsi="Times New Roman" w:cs="Times New Roman"/>
          <w:sz w:val="24"/>
          <w:szCs w:val="24"/>
        </w:rPr>
        <w:t xml:space="preserve"> de Responsabilidad Civil. Dentro de la misma, RC se encuentra segmentado en los siguientes conceptos: RC lesiones 3º transportados, RC lesiones 3º no transportados y RC daños a cosas.</w:t>
      </w:r>
    </w:p>
    <w:p w14:paraId="00000099" w14:textId="77777777" w:rsidR="00E6009A" w:rsidRPr="00EA4C1F" w:rsidRDefault="00000000" w:rsidP="00EA4C1F">
      <w:pPr>
        <w:spacing w:line="480" w:lineRule="auto"/>
        <w:jc w:val="both"/>
        <w:rPr>
          <w:rFonts w:ascii="Times New Roman" w:eastAsia="Times New Roman" w:hAnsi="Times New Roman" w:cs="Times New Roman"/>
          <w:sz w:val="26"/>
          <w:szCs w:val="26"/>
        </w:rPr>
      </w:pPr>
      <w:r w:rsidRPr="00EA4C1F">
        <w:rPr>
          <w:rFonts w:ascii="Times New Roman" w:eastAsia="Times New Roman" w:hAnsi="Times New Roman" w:cs="Times New Roman"/>
          <w:sz w:val="24"/>
          <w:szCs w:val="24"/>
        </w:rPr>
        <w:t>Sobre esta segmentación, se asumen los siguientes supuestos:</w:t>
      </w:r>
    </w:p>
    <w:p w14:paraId="0000009A" w14:textId="77777777" w:rsidR="00E6009A" w:rsidRPr="00EA4C1F" w:rsidRDefault="00000000" w:rsidP="00EA4C1F">
      <w:pPr>
        <w:numPr>
          <w:ilvl w:val="0"/>
          <w:numId w:val="12"/>
        </w:num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La información es representativa del mercado asegurador en el periodo de valuación.</w:t>
      </w:r>
    </w:p>
    <w:p w14:paraId="0000009B" w14:textId="77777777" w:rsidR="00E6009A" w:rsidRPr="00EA4C1F" w:rsidRDefault="00000000" w:rsidP="00EA4C1F">
      <w:pPr>
        <w:numPr>
          <w:ilvl w:val="0"/>
          <w:numId w:val="12"/>
        </w:num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Las segmentaciones y </w:t>
      </w:r>
      <w:proofErr w:type="spellStart"/>
      <w:r w:rsidRPr="00EA4C1F">
        <w:rPr>
          <w:rFonts w:ascii="Times New Roman" w:eastAsia="Times New Roman" w:hAnsi="Times New Roman" w:cs="Times New Roman"/>
          <w:sz w:val="24"/>
          <w:szCs w:val="24"/>
        </w:rPr>
        <w:t>sub-segmentaciones</w:t>
      </w:r>
      <w:proofErr w:type="spellEnd"/>
      <w:r w:rsidRPr="00EA4C1F">
        <w:rPr>
          <w:rFonts w:ascii="Times New Roman" w:eastAsia="Times New Roman" w:hAnsi="Times New Roman" w:cs="Times New Roman"/>
          <w:sz w:val="24"/>
          <w:szCs w:val="24"/>
        </w:rPr>
        <w:t xml:space="preserve"> dispuestas son razonables para el ramo.</w:t>
      </w:r>
    </w:p>
    <w:p w14:paraId="0000009C" w14:textId="77777777" w:rsidR="00E6009A" w:rsidRPr="00EA4C1F" w:rsidRDefault="00000000" w:rsidP="00EA4C1F">
      <w:pPr>
        <w:numPr>
          <w:ilvl w:val="0"/>
          <w:numId w:val="12"/>
        </w:num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lastRenderedPageBreak/>
        <w:t>Los montos presentados están valuados al 30 de junio del año en que se presentó dicho monto. Por ejemplo, para un siniestro con año de ocurrencia 2019 y periodo de desarrollo de 2 años, la fecha de valuación será el 30 de junio de 2021. Esto se hace debido a que los datos surgen de partidas contables.</w:t>
      </w:r>
    </w:p>
    <w:p w14:paraId="0000009D" w14:textId="77777777" w:rsidR="00E6009A" w:rsidRPr="00EA4C1F" w:rsidRDefault="00000000" w:rsidP="00EA4C1F">
      <w:pPr>
        <w:numPr>
          <w:ilvl w:val="0"/>
          <w:numId w:val="12"/>
        </w:num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No contiene siniestros anómalos</w:t>
      </w:r>
    </w:p>
    <w:p w14:paraId="0000009E" w14:textId="77777777" w:rsidR="00E6009A" w:rsidRPr="00EA4C1F" w:rsidRDefault="00000000" w:rsidP="00EA4C1F">
      <w:pPr>
        <w:pStyle w:val="Heading2"/>
        <w:numPr>
          <w:ilvl w:val="2"/>
          <w:numId w:val="3"/>
        </w:numPr>
        <w:spacing w:before="0" w:line="480" w:lineRule="auto"/>
        <w:ind w:hanging="360"/>
        <w:jc w:val="both"/>
        <w:rPr>
          <w:rFonts w:ascii="Times New Roman" w:eastAsia="Times New Roman" w:hAnsi="Times New Roman" w:cs="Times New Roman"/>
        </w:rPr>
      </w:pPr>
      <w:bookmarkStart w:id="34" w:name="_heading=h.ggipic3raaay" w:colFirst="0" w:colLast="0"/>
      <w:bookmarkEnd w:id="34"/>
      <w:r w:rsidRPr="00EA4C1F">
        <w:rPr>
          <w:rFonts w:ascii="Times New Roman" w:eastAsia="Times New Roman" w:hAnsi="Times New Roman" w:cs="Times New Roman"/>
        </w:rPr>
        <w:t>Índice de actualización de Siniestros</w:t>
      </w:r>
    </w:p>
    <w:p w14:paraId="0000009F"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Las normativas descritas anteriormente requieren un índice de actualización que refleje el aumento sostenido de la severidad en el tiempo. Para satisfacer este requisito, se utilizará la base de datos del índice FACPCE, publicada por la Federación Argentina de Consejos Profesionales de Ciencias Económicas</w:t>
      </w:r>
      <w:r w:rsidRPr="00EA4C1F">
        <w:rPr>
          <w:rFonts w:ascii="Times New Roman" w:eastAsia="Times New Roman" w:hAnsi="Times New Roman" w:cs="Times New Roman"/>
          <w:sz w:val="24"/>
          <w:szCs w:val="24"/>
          <w:vertAlign w:val="superscript"/>
        </w:rPr>
        <w:footnoteReference w:id="6"/>
      </w:r>
      <w:r w:rsidRPr="00EA4C1F">
        <w:rPr>
          <w:rFonts w:ascii="Times New Roman" w:eastAsia="Times New Roman" w:hAnsi="Times New Roman" w:cs="Times New Roman"/>
          <w:sz w:val="24"/>
          <w:szCs w:val="24"/>
        </w:rPr>
        <w:t>. Dicha información consiste en un archivo con formato “</w:t>
      </w:r>
      <w:proofErr w:type="spellStart"/>
      <w:r w:rsidRPr="00EA4C1F">
        <w:rPr>
          <w:rFonts w:ascii="Times New Roman" w:eastAsia="Times New Roman" w:hAnsi="Times New Roman" w:cs="Times New Roman"/>
          <w:sz w:val="24"/>
          <w:szCs w:val="24"/>
        </w:rPr>
        <w:t>Comma</w:t>
      </w:r>
      <w:proofErr w:type="spellEnd"/>
      <w:r w:rsidRPr="00EA4C1F">
        <w:rPr>
          <w:rFonts w:ascii="Times New Roman" w:eastAsia="Times New Roman" w:hAnsi="Times New Roman" w:cs="Times New Roman"/>
          <w:sz w:val="24"/>
          <w:szCs w:val="24"/>
        </w:rPr>
        <w:t xml:space="preserve"> </w:t>
      </w:r>
      <w:proofErr w:type="spellStart"/>
      <w:r w:rsidRPr="00EA4C1F">
        <w:rPr>
          <w:rFonts w:ascii="Times New Roman" w:eastAsia="Times New Roman" w:hAnsi="Times New Roman" w:cs="Times New Roman"/>
          <w:sz w:val="24"/>
          <w:szCs w:val="24"/>
        </w:rPr>
        <w:t>Delimited</w:t>
      </w:r>
      <w:proofErr w:type="spellEnd"/>
      <w:r w:rsidRPr="00EA4C1F">
        <w:rPr>
          <w:rFonts w:ascii="Times New Roman" w:eastAsia="Times New Roman" w:hAnsi="Times New Roman" w:cs="Times New Roman"/>
          <w:sz w:val="24"/>
          <w:szCs w:val="24"/>
        </w:rPr>
        <w:t xml:space="preserve"> </w:t>
      </w:r>
      <w:proofErr w:type="spellStart"/>
      <w:r w:rsidRPr="00EA4C1F">
        <w:rPr>
          <w:rFonts w:ascii="Times New Roman" w:eastAsia="Times New Roman" w:hAnsi="Times New Roman" w:cs="Times New Roman"/>
          <w:sz w:val="24"/>
          <w:szCs w:val="24"/>
        </w:rPr>
        <w:t>Values</w:t>
      </w:r>
      <w:proofErr w:type="spellEnd"/>
      <w:r w:rsidRPr="00EA4C1F">
        <w:rPr>
          <w:rFonts w:ascii="Times New Roman" w:eastAsia="Times New Roman" w:hAnsi="Times New Roman" w:cs="Times New Roman"/>
          <w:sz w:val="24"/>
          <w:szCs w:val="24"/>
        </w:rPr>
        <w:t xml:space="preserve">”, el cual posee una columna para la fecha de medición y otra para el índice. </w:t>
      </w:r>
    </w:p>
    <w:p w14:paraId="000000A0"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 El Índice FACPCE está conformado, en cumplimiento con la Resolución JGN°517/16, por un empalme de los siguientes índices:</w:t>
      </w:r>
    </w:p>
    <w:p w14:paraId="000000A1" w14:textId="77777777" w:rsidR="00E6009A" w:rsidRPr="00EA4C1F" w:rsidRDefault="00000000" w:rsidP="00EA4C1F">
      <w:pPr>
        <w:numPr>
          <w:ilvl w:val="0"/>
          <w:numId w:val="6"/>
        </w:num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Desde enero de 1993 hasta octubre de 2015: se utiliza el índice IPIM con base en el Índice de Precios del Consumidor (de ahora en más, IPC) nacional de diciembre 2016, ambos publicados por el Instituto Nacional de Estadísticas y Censos de la República Argentina (de ahora en más, INDEC).</w:t>
      </w:r>
    </w:p>
    <w:p w14:paraId="000000A2" w14:textId="77777777" w:rsidR="00E6009A" w:rsidRPr="00EA4C1F" w:rsidRDefault="00000000" w:rsidP="00EA4C1F">
      <w:pPr>
        <w:numPr>
          <w:ilvl w:val="0"/>
          <w:numId w:val="6"/>
        </w:num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Desde noviembre 2015 hasta diciembre 2016: se utiliza el IPIM calculado por FACPCE de acuerdo con la Resolución </w:t>
      </w:r>
      <w:proofErr w:type="spellStart"/>
      <w:r w:rsidRPr="00EA4C1F">
        <w:rPr>
          <w:rFonts w:ascii="Times New Roman" w:eastAsia="Times New Roman" w:hAnsi="Times New Roman" w:cs="Times New Roman"/>
          <w:sz w:val="24"/>
          <w:szCs w:val="24"/>
        </w:rPr>
        <w:t>JGN°</w:t>
      </w:r>
      <w:proofErr w:type="spellEnd"/>
      <w:r w:rsidRPr="00EA4C1F">
        <w:rPr>
          <w:rFonts w:ascii="Times New Roman" w:eastAsia="Times New Roman" w:hAnsi="Times New Roman" w:cs="Times New Roman"/>
          <w:sz w:val="24"/>
          <w:szCs w:val="24"/>
        </w:rPr>
        <w:t xml:space="preserve"> 517/16, con base en el IPC nacional de diciembre 2016</w:t>
      </w:r>
    </w:p>
    <w:p w14:paraId="000000A3" w14:textId="77777777" w:rsidR="00E6009A" w:rsidRPr="00EA4C1F" w:rsidRDefault="00000000" w:rsidP="00EA4C1F">
      <w:pPr>
        <w:numPr>
          <w:ilvl w:val="0"/>
          <w:numId w:val="6"/>
        </w:num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Desde enero 2017 en adelante: se utiliza el IPC nacional publicado por el INDEC</w:t>
      </w:r>
    </w:p>
    <w:p w14:paraId="000000A4" w14:textId="77777777" w:rsidR="00E6009A" w:rsidRPr="00EA4C1F" w:rsidRDefault="00000000" w:rsidP="00EA4C1F">
      <w:pPr>
        <w:pStyle w:val="Heading2"/>
        <w:numPr>
          <w:ilvl w:val="1"/>
          <w:numId w:val="3"/>
        </w:numPr>
        <w:spacing w:before="0" w:line="480" w:lineRule="auto"/>
        <w:jc w:val="both"/>
        <w:rPr>
          <w:rFonts w:ascii="Times New Roman" w:eastAsia="Times New Roman" w:hAnsi="Times New Roman" w:cs="Times New Roman"/>
        </w:rPr>
      </w:pPr>
      <w:bookmarkStart w:id="35" w:name="_heading=h.83igg5k4r1o5" w:colFirst="0" w:colLast="0"/>
      <w:bookmarkEnd w:id="35"/>
      <w:r w:rsidRPr="00EA4C1F">
        <w:rPr>
          <w:rFonts w:ascii="Times New Roman" w:eastAsia="Times New Roman" w:hAnsi="Times New Roman" w:cs="Times New Roman"/>
        </w:rPr>
        <w:lastRenderedPageBreak/>
        <w:t>Preprocesamiento de datos</w:t>
      </w:r>
    </w:p>
    <w:p w14:paraId="000000A5" w14:textId="15C7825B"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Antes de realizar el análisis, se llevó a cabo un proceso de Extracción, Transformación y Carga (ETL). En primer lugar, se unificó la información proveniente de todas las pestañas del archivo original en una única tabla consolidada. Posteriormente, filtró por los </w:t>
      </w:r>
      <w:proofErr w:type="spellStart"/>
      <w:r w:rsidR="00B97721" w:rsidRPr="00EA4C1F">
        <w:rPr>
          <w:rFonts w:ascii="Times New Roman" w:eastAsia="Times New Roman" w:hAnsi="Times New Roman" w:cs="Times New Roman"/>
          <w:sz w:val="24"/>
          <w:szCs w:val="24"/>
        </w:rPr>
        <w:t>sub-ramos</w:t>
      </w:r>
      <w:proofErr w:type="spellEnd"/>
      <w:r w:rsidRPr="00EA4C1F">
        <w:rPr>
          <w:rFonts w:ascii="Times New Roman" w:eastAsia="Times New Roman" w:hAnsi="Times New Roman" w:cs="Times New Roman"/>
          <w:sz w:val="24"/>
          <w:szCs w:val="24"/>
        </w:rPr>
        <w:t xml:space="preserve"> pertenecientes a RC y se</w:t>
      </w:r>
      <w:r w:rsidR="00012272">
        <w:rPr>
          <w:rFonts w:ascii="Times New Roman" w:eastAsia="Times New Roman" w:hAnsi="Times New Roman" w:cs="Times New Roman"/>
          <w:sz w:val="24"/>
          <w:szCs w:val="24"/>
        </w:rPr>
        <w:t xml:space="preserve"> utilizó el índice FACPCE para</w:t>
      </w:r>
      <w:r w:rsidRPr="00EA4C1F">
        <w:rPr>
          <w:rFonts w:ascii="Times New Roman" w:eastAsia="Times New Roman" w:hAnsi="Times New Roman" w:cs="Times New Roman"/>
          <w:sz w:val="24"/>
          <w:szCs w:val="24"/>
        </w:rPr>
        <w:t xml:space="preserve"> calcul</w:t>
      </w:r>
      <w:r w:rsidR="00012272">
        <w:rPr>
          <w:rFonts w:ascii="Times New Roman" w:eastAsia="Times New Roman" w:hAnsi="Times New Roman" w:cs="Times New Roman"/>
          <w:sz w:val="24"/>
          <w:szCs w:val="24"/>
        </w:rPr>
        <w:t>ar</w:t>
      </w:r>
      <w:r w:rsidRPr="00EA4C1F">
        <w:rPr>
          <w:rFonts w:ascii="Times New Roman" w:eastAsia="Times New Roman" w:hAnsi="Times New Roman" w:cs="Times New Roman"/>
          <w:sz w:val="24"/>
          <w:szCs w:val="24"/>
        </w:rPr>
        <w:t xml:space="preserve"> el factor de ajuste por inflación, mediante la relación:</w:t>
      </w:r>
    </w:p>
    <w:p w14:paraId="000000A6" w14:textId="7B6C03E5" w:rsidR="00E6009A" w:rsidRPr="00EA4C1F" w:rsidRDefault="00012272" w:rsidP="00012272">
      <w:pPr>
        <w:spacing w:line="48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 xml:space="preserve">Factor de </m:t>
          </m:r>
          <m:r>
            <w:rPr>
              <w:rFonts w:ascii="Cambria Math" w:eastAsia="Times New Roman" w:hAnsi="Cambria Math" w:cs="Times New Roman"/>
              <w:sz w:val="24"/>
              <w:szCs w:val="24"/>
            </w:rPr>
            <m:t>ajust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e</m:t>
              </m:r>
            </m:e>
            <m:sub>
              <m:r>
                <w:rPr>
                  <w:rFonts w:ascii="Cambria Math" w:eastAsia="Times New Roman" w:hAnsi="Cambria Math" w:cs="Times New Roman"/>
                  <w:sz w:val="24"/>
                  <w:szCs w:val="24"/>
                </w:rPr>
                <m:t>t</m:t>
              </m:r>
            </m:sub>
          </m:sSub>
          <m:r>
            <w:rPr>
              <w:rFonts w:ascii="Cambria Math" w:eastAsia="Times New Roman" w:hAnsi="Cambria Math" w:cs="Times New Roman"/>
              <w:sz w:val="24"/>
              <w:szCs w:val="24"/>
            </w:rPr>
            <m:t xml:space="preserve"> =</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FACPC</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E</m:t>
                  </m:r>
                </m:e>
                <m:sub>
                  <m:r>
                    <w:rPr>
                      <w:rFonts w:ascii="Cambria Math" w:eastAsia="Times New Roman" w:hAnsi="Cambria Math" w:cs="Times New Roman"/>
                      <w:sz w:val="24"/>
                      <w:szCs w:val="24"/>
                    </w:rPr>
                    <m:t>t</m:t>
                  </m:r>
                </m:sub>
              </m:sSub>
            </m:num>
            <m:den>
              <m:r>
                <w:rPr>
                  <w:rFonts w:ascii="Cambria Math" w:eastAsia="Times New Roman" w:hAnsi="Cambria Math" w:cs="Times New Roman"/>
                  <w:sz w:val="24"/>
                  <w:szCs w:val="24"/>
                </w:rPr>
                <m:t>FACPC</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E</m:t>
                  </m:r>
                </m:e>
                <m:sub>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t-n</m:t>
                      </m:r>
                      <m:ctrlPr>
                        <w:rPr>
                          <w:rFonts w:ascii="Cambria Math" w:hAnsi="Cambria Math" w:cs="Times New Roman"/>
                          <w:i/>
                          <w:sz w:val="24"/>
                          <w:szCs w:val="24"/>
                        </w:rPr>
                      </m:ctrlPr>
                    </m:e>
                  </m:d>
                </m:sub>
              </m:sSub>
            </m:den>
          </m:f>
        </m:oMath>
      </m:oMathPara>
    </w:p>
    <w:p w14:paraId="6EF9F0D5" w14:textId="77777777" w:rsidR="00012272" w:rsidRDefault="00012272" w:rsidP="00EA4C1F">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w:t>
      </w:r>
      <w:r w:rsidR="00000000" w:rsidRPr="00EA4C1F">
        <w:rPr>
          <w:rFonts w:ascii="Times New Roman" w:eastAsia="Times New Roman" w:hAnsi="Times New Roman" w:cs="Times New Roman"/>
          <w:sz w:val="24"/>
          <w:szCs w:val="24"/>
        </w:rPr>
        <w:t>onde</w:t>
      </w:r>
      <w:r>
        <w:rPr>
          <w:rFonts w:ascii="Times New Roman" w:eastAsia="Times New Roman" w:hAnsi="Times New Roman" w:cs="Times New Roman"/>
          <w:sz w:val="24"/>
          <w:szCs w:val="24"/>
        </w:rPr>
        <w:t>:</w:t>
      </w:r>
    </w:p>
    <w:p w14:paraId="66DF2BEE" w14:textId="26E03875" w:rsidR="00012272" w:rsidRDefault="00000000" w:rsidP="00012272">
      <w:pPr>
        <w:pStyle w:val="ListParagraph"/>
        <w:numPr>
          <w:ilvl w:val="0"/>
          <w:numId w:val="16"/>
        </w:numPr>
        <w:spacing w:before="240" w:after="240" w:line="480" w:lineRule="auto"/>
        <w:jc w:val="both"/>
        <w:rPr>
          <w:rFonts w:ascii="Times New Roman" w:eastAsia="Times New Roman" w:hAnsi="Times New Roman" w:cs="Times New Roman"/>
          <w:sz w:val="24"/>
          <w:szCs w:val="24"/>
        </w:rPr>
      </w:pPr>
      <w:r w:rsidRPr="00012272">
        <w:rPr>
          <w:rFonts w:ascii="Times New Roman" w:eastAsia="Times New Roman" w:hAnsi="Times New Roman" w:cs="Times New Roman"/>
          <w:color w:val="EE0000"/>
          <w:sz w:val="24"/>
          <w:szCs w:val="24"/>
        </w:rPr>
        <w:t xml:space="preserve"> </w:t>
      </w:r>
      <m:oMath>
        <m:r>
          <w:rPr>
            <w:rFonts w:ascii="Cambria Math" w:eastAsia="Times New Roman" w:hAnsi="Cambria Math" w:cs="Times New Roman"/>
            <w:sz w:val="24"/>
            <w:szCs w:val="24"/>
          </w:rPr>
          <m:t>FACPC</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E</m:t>
            </m:r>
          </m:e>
          <m:sub>
            <m:r>
              <w:rPr>
                <w:rFonts w:ascii="Cambria Math" w:eastAsia="Times New Roman" w:hAnsi="Cambria Math" w:cs="Times New Roman"/>
                <w:sz w:val="24"/>
                <w:szCs w:val="24"/>
              </w:rPr>
              <m:t>t</m:t>
            </m:r>
          </m:sub>
        </m:sSub>
      </m:oMath>
      <w:r w:rsidR="00012272" w:rsidRPr="00012272">
        <w:rPr>
          <w:rFonts w:ascii="Times New Roman" w:eastAsia="Times New Roman" w:hAnsi="Times New Roman" w:cs="Times New Roman"/>
          <w:sz w:val="24"/>
          <w:szCs w:val="24"/>
        </w:rPr>
        <w:t xml:space="preserve"> </w:t>
      </w:r>
      <w:r w:rsidRPr="00012272">
        <w:rPr>
          <w:rFonts w:ascii="Times New Roman" w:eastAsia="Times New Roman" w:hAnsi="Times New Roman" w:cs="Times New Roman"/>
          <w:sz w:val="24"/>
          <w:szCs w:val="24"/>
        </w:rPr>
        <w:t xml:space="preserve">corresponde al índice de precios del período de </w:t>
      </w:r>
      <w:r w:rsidR="00012272">
        <w:rPr>
          <w:rFonts w:ascii="Times New Roman" w:eastAsia="Times New Roman" w:hAnsi="Times New Roman" w:cs="Times New Roman"/>
          <w:color w:val="000000" w:themeColor="text1"/>
          <w:sz w:val="24"/>
          <w:szCs w:val="24"/>
        </w:rPr>
        <w:t xml:space="preserve">enero </w:t>
      </w:r>
      <w:r w:rsidRPr="00012272">
        <w:rPr>
          <w:rFonts w:ascii="Times New Roman" w:eastAsia="Times New Roman" w:hAnsi="Times New Roman" w:cs="Times New Roman"/>
          <w:color w:val="000000" w:themeColor="text1"/>
          <w:sz w:val="24"/>
          <w:szCs w:val="24"/>
        </w:rPr>
        <w:t>2024</w:t>
      </w:r>
    </w:p>
    <w:p w14:paraId="14D2C901" w14:textId="77777777" w:rsidR="00012272" w:rsidRDefault="00012272" w:rsidP="00012272">
      <w:pPr>
        <w:pStyle w:val="ListParagraph"/>
        <w:numPr>
          <w:ilvl w:val="0"/>
          <w:numId w:val="16"/>
        </w:numPr>
        <w:spacing w:before="240" w:after="240" w:line="480" w:lineRule="auto"/>
        <w:jc w:val="both"/>
        <w:rPr>
          <w:rFonts w:ascii="Times New Roman" w:eastAsia="Times New Roman" w:hAnsi="Times New Roman" w:cs="Times New Roman"/>
          <w:sz w:val="24"/>
          <w:szCs w:val="24"/>
        </w:rPr>
      </w:pPr>
      <m:oMath>
        <m:r>
          <w:rPr>
            <w:rFonts w:ascii="Cambria Math" w:eastAsia="Times New Roman" w:hAnsi="Cambria Math" w:cs="Times New Roman"/>
            <w:sz w:val="24"/>
            <w:szCs w:val="24"/>
          </w:rPr>
          <m:t>FACPC</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E</m:t>
            </m:r>
          </m:e>
          <m:sub>
            <m:r>
              <w:rPr>
                <w:rFonts w:ascii="Cambria Math" w:eastAsia="Times New Roman" w:hAnsi="Cambria Math" w:cs="Times New Roman"/>
                <w:sz w:val="24"/>
                <w:szCs w:val="24"/>
              </w:rPr>
              <m:t>t</m:t>
            </m:r>
            <m:r>
              <w:rPr>
                <w:rFonts w:ascii="Cambria Math" w:eastAsia="Times New Roman" w:hAnsi="Cambria Math" w:cs="Times New Roman"/>
                <w:sz w:val="24"/>
                <w:szCs w:val="24"/>
              </w:rPr>
              <m:t>-n</m:t>
            </m:r>
          </m:sub>
        </m:sSub>
      </m:oMath>
      <w:r w:rsidR="00000000" w:rsidRPr="00012272">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corresponde </w:t>
      </w:r>
      <w:r w:rsidR="00000000" w:rsidRPr="00012272">
        <w:rPr>
          <w:rFonts w:ascii="Times New Roman" w:eastAsia="Times New Roman" w:hAnsi="Times New Roman" w:cs="Times New Roman"/>
          <w:sz w:val="24"/>
          <w:szCs w:val="24"/>
        </w:rPr>
        <w:t xml:space="preserve">al índice del período original del dato. </w:t>
      </w:r>
    </w:p>
    <w:p w14:paraId="000000A7" w14:textId="52C619A6" w:rsidR="00E6009A" w:rsidRPr="00012272" w:rsidRDefault="00000000" w:rsidP="00012272">
      <w:pPr>
        <w:spacing w:before="240" w:after="240" w:line="480" w:lineRule="auto"/>
        <w:jc w:val="both"/>
        <w:rPr>
          <w:rFonts w:ascii="Times New Roman" w:eastAsia="Times New Roman" w:hAnsi="Times New Roman" w:cs="Times New Roman"/>
          <w:sz w:val="24"/>
          <w:szCs w:val="24"/>
        </w:rPr>
      </w:pPr>
      <w:r w:rsidRPr="00012272">
        <w:rPr>
          <w:rFonts w:ascii="Times New Roman" w:eastAsia="Times New Roman" w:hAnsi="Times New Roman" w:cs="Times New Roman"/>
          <w:sz w:val="24"/>
          <w:szCs w:val="24"/>
        </w:rPr>
        <w:t>Este factor se aplicó a los montos de siniestros con el fin de expresarlos en valores homogéneos y comparables. Finalmente, la base resultante fue exportada a un archivo CSV, la cual posee la siguiente estructura:</w:t>
      </w:r>
    </w:p>
    <w:p w14:paraId="000000A8" w14:textId="5B302347" w:rsidR="00E6009A" w:rsidRPr="00EA4C1F" w:rsidRDefault="00000000" w:rsidP="00EA4C1F">
      <w:pPr>
        <w:spacing w:before="240" w:after="240" w:line="480" w:lineRule="auto"/>
        <w:jc w:val="both"/>
        <w:rPr>
          <w:rFonts w:ascii="Times New Roman" w:eastAsia="Times New Roman" w:hAnsi="Times New Roman" w:cs="Times New Roman"/>
          <w:sz w:val="24"/>
          <w:szCs w:val="24"/>
        </w:rPr>
      </w:pPr>
      <w:sdt>
        <w:sdtPr>
          <w:rPr>
            <w:rFonts w:ascii="Times New Roman" w:hAnsi="Times New Roman" w:cs="Times New Roman"/>
          </w:rPr>
          <w:tag w:val="goog_rdk_17"/>
          <w:id w:val="-567415515"/>
        </w:sdtPr>
        <w:sdtContent>
          <w:commentRangeStart w:id="36"/>
        </w:sdtContent>
      </w:sdt>
      <w:commentRangeEnd w:id="36"/>
      <w:r w:rsidRPr="00EA4C1F">
        <w:rPr>
          <w:rFonts w:ascii="Times New Roman" w:hAnsi="Times New Roman" w:cs="Times New Roman"/>
        </w:rPr>
        <w:commentReference w:id="36"/>
      </w:r>
      <w:r w:rsidR="009D5399" w:rsidRPr="009D5399">
        <w:rPr>
          <w:rFonts w:ascii="Times New Roman" w:hAnsi="Times New Roman" w:cs="Times New Roman"/>
        </w:rPr>
        <w:drawing>
          <wp:inline distT="0" distB="0" distL="0" distR="0" wp14:anchorId="73EDEB37" wp14:editId="0965A488">
            <wp:extent cx="3551228" cy="3284505"/>
            <wp:effectExtent l="0" t="0" r="0" b="0"/>
            <wp:docPr id="27790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90830" name=""/>
                    <pic:cNvPicPr/>
                  </pic:nvPicPr>
                  <pic:blipFill>
                    <a:blip r:embed="rId16"/>
                    <a:stretch>
                      <a:fillRect/>
                    </a:stretch>
                  </pic:blipFill>
                  <pic:spPr>
                    <a:xfrm>
                      <a:off x="0" y="0"/>
                      <a:ext cx="3551228" cy="3284505"/>
                    </a:xfrm>
                    <a:prstGeom prst="rect">
                      <a:avLst/>
                    </a:prstGeom>
                  </pic:spPr>
                </pic:pic>
              </a:graphicData>
            </a:graphic>
          </wp:inline>
        </w:drawing>
      </w:r>
    </w:p>
    <w:p w14:paraId="000000A9" w14:textId="77777777" w:rsidR="00E6009A" w:rsidRPr="00EA4C1F" w:rsidRDefault="00000000" w:rsidP="00EA4C1F">
      <w:pPr>
        <w:pStyle w:val="Heading2"/>
        <w:numPr>
          <w:ilvl w:val="1"/>
          <w:numId w:val="3"/>
        </w:numPr>
        <w:spacing w:line="480" w:lineRule="auto"/>
        <w:jc w:val="both"/>
        <w:rPr>
          <w:rFonts w:ascii="Times New Roman" w:eastAsia="Times New Roman" w:hAnsi="Times New Roman" w:cs="Times New Roman"/>
        </w:rPr>
      </w:pPr>
      <w:bookmarkStart w:id="37" w:name="_heading=h.k6pum83tn0jh" w:colFirst="0" w:colLast="0"/>
      <w:bookmarkEnd w:id="37"/>
      <w:r w:rsidRPr="00EA4C1F">
        <w:rPr>
          <w:rFonts w:ascii="Times New Roman" w:eastAsia="Times New Roman" w:hAnsi="Times New Roman" w:cs="Times New Roman"/>
        </w:rPr>
        <w:t xml:space="preserve"> Metodología RGAA</w:t>
      </w:r>
    </w:p>
    <w:p w14:paraId="000000AA"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La metodología establecida por el RGAA define un procedimiento estandarizado para la estimación de las reservas por siniestros IBNR. El enfoque se basa en un esquema determinista sobre el cual se aplican ajustes dadas ciertas características de segmentación. El proceso se describe a continuación</w:t>
      </w:r>
    </w:p>
    <w:p w14:paraId="000000AB" w14:textId="77777777" w:rsidR="00E6009A" w:rsidRPr="00EA4C1F" w:rsidRDefault="00000000" w:rsidP="00EA4C1F">
      <w:pPr>
        <w:pStyle w:val="Heading3"/>
        <w:numPr>
          <w:ilvl w:val="2"/>
          <w:numId w:val="3"/>
        </w:numPr>
        <w:spacing w:line="480" w:lineRule="auto"/>
        <w:ind w:hanging="360"/>
        <w:jc w:val="both"/>
        <w:rPr>
          <w:rFonts w:ascii="Times New Roman" w:eastAsia="Times New Roman" w:hAnsi="Times New Roman" w:cs="Times New Roman"/>
        </w:rPr>
      </w:pPr>
      <w:bookmarkStart w:id="38" w:name="_heading=h.tux7bix64r2t" w:colFirst="0" w:colLast="0"/>
      <w:bookmarkEnd w:id="38"/>
      <w:r w:rsidRPr="00EA4C1F">
        <w:rPr>
          <w:rFonts w:ascii="Times New Roman" w:eastAsia="Times New Roman" w:hAnsi="Times New Roman" w:cs="Times New Roman"/>
        </w:rPr>
        <w:t xml:space="preserve">Actualización y </w:t>
      </w:r>
      <w:sdt>
        <w:sdtPr>
          <w:rPr>
            <w:rFonts w:ascii="Times New Roman" w:hAnsi="Times New Roman" w:cs="Times New Roman"/>
          </w:rPr>
          <w:tag w:val="goog_rdk_18"/>
          <w:id w:val="513579302"/>
        </w:sdtPr>
        <w:sdtContent>
          <w:commentRangeStart w:id="39"/>
        </w:sdtContent>
      </w:sdt>
      <w:sdt>
        <w:sdtPr>
          <w:rPr>
            <w:rFonts w:ascii="Times New Roman" w:hAnsi="Times New Roman" w:cs="Times New Roman"/>
          </w:rPr>
          <w:tag w:val="goog_rdk_19"/>
          <w:id w:val="-269736622"/>
        </w:sdtPr>
        <w:sdtContent>
          <w:commentRangeStart w:id="40"/>
        </w:sdtContent>
      </w:sdt>
      <w:r w:rsidRPr="00EA4C1F">
        <w:rPr>
          <w:rFonts w:ascii="Times New Roman" w:eastAsia="Times New Roman" w:hAnsi="Times New Roman" w:cs="Times New Roman"/>
        </w:rPr>
        <w:t>exclusión</w:t>
      </w:r>
      <w:commentRangeEnd w:id="39"/>
      <w:r w:rsidRPr="00EA4C1F">
        <w:rPr>
          <w:rFonts w:ascii="Times New Roman" w:hAnsi="Times New Roman" w:cs="Times New Roman"/>
        </w:rPr>
        <w:commentReference w:id="39"/>
      </w:r>
      <w:commentRangeEnd w:id="40"/>
      <w:r w:rsidRPr="00EA4C1F">
        <w:rPr>
          <w:rFonts w:ascii="Times New Roman" w:hAnsi="Times New Roman" w:cs="Times New Roman"/>
        </w:rPr>
        <w:commentReference w:id="40"/>
      </w:r>
      <w:r w:rsidRPr="00EA4C1F">
        <w:rPr>
          <w:rFonts w:ascii="Times New Roman" w:eastAsia="Times New Roman" w:hAnsi="Times New Roman" w:cs="Times New Roman"/>
        </w:rPr>
        <w:t xml:space="preserve"> de siniestros</w:t>
      </w:r>
    </w:p>
    <w:p w14:paraId="000000AC"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Como primer paso, el RGAA define el concepto de “siniestros incurridos por período de ocurrencia a una determinada fecha” como la suma de:</w:t>
      </w:r>
    </w:p>
    <w:p w14:paraId="000000AD" w14:textId="77777777" w:rsidR="00E6009A" w:rsidRPr="00EA4C1F" w:rsidRDefault="00000000" w:rsidP="00EA4C1F">
      <w:pPr>
        <w:numPr>
          <w:ilvl w:val="0"/>
          <w:numId w:val="11"/>
        </w:num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Los pagos netos de </w:t>
      </w:r>
      <w:proofErr w:type="spellStart"/>
      <w:r w:rsidRPr="00EA4C1F">
        <w:rPr>
          <w:rFonts w:ascii="Times New Roman" w:eastAsia="Times New Roman" w:hAnsi="Times New Roman" w:cs="Times New Roman"/>
          <w:sz w:val="24"/>
          <w:szCs w:val="24"/>
        </w:rPr>
        <w:t>recuperos</w:t>
      </w:r>
      <w:proofErr w:type="spellEnd"/>
      <w:r w:rsidRPr="00EA4C1F">
        <w:rPr>
          <w:rFonts w:ascii="Times New Roman" w:eastAsia="Times New Roman" w:hAnsi="Times New Roman" w:cs="Times New Roman"/>
          <w:sz w:val="24"/>
          <w:szCs w:val="24"/>
        </w:rPr>
        <w:t xml:space="preserve"> de cada uno de los siniestros que ocurrieron durante un período de 12 meses, valuados y acumulados, a cierre del ejercicio aplicando la serie del índice FACPCE, sin descontar la participación de los reaseguradores.</w:t>
      </w:r>
    </w:p>
    <w:p w14:paraId="000000AE" w14:textId="77777777" w:rsidR="00E6009A" w:rsidRPr="00EA4C1F" w:rsidRDefault="00000000" w:rsidP="00EA4C1F">
      <w:pPr>
        <w:numPr>
          <w:ilvl w:val="0"/>
          <w:numId w:val="13"/>
        </w:num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lastRenderedPageBreak/>
        <w:t>Los pasivos por siniestros pendientes -valuados a cierre de su ejercicio y/o período-, de todos los siniestros que ocurrieron durante el mismo período de 12 meses, sin descontar la participación de los reaseguradores.</w:t>
      </w:r>
    </w:p>
    <w:p w14:paraId="75D98DD2" w14:textId="121CF5ED" w:rsidR="009D5399"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El cálculo para llegar a este </w:t>
      </w:r>
      <w:r w:rsidR="00176D78" w:rsidRPr="00EA4C1F">
        <w:rPr>
          <w:rFonts w:ascii="Times New Roman" w:eastAsia="Times New Roman" w:hAnsi="Times New Roman" w:cs="Times New Roman"/>
          <w:sz w:val="24"/>
          <w:szCs w:val="24"/>
        </w:rPr>
        <w:t>valor</w:t>
      </w:r>
      <w:r w:rsidRPr="00EA4C1F">
        <w:rPr>
          <w:rFonts w:ascii="Times New Roman" w:eastAsia="Times New Roman" w:hAnsi="Times New Roman" w:cs="Times New Roman"/>
          <w:sz w:val="24"/>
          <w:szCs w:val="24"/>
        </w:rPr>
        <w:t xml:space="preserve"> se hace a través del factor de ajuste por inflación, calculado en el apartado anterior. Al contar con una base de datos de siniestros agregados por año de ocurrencia y periodo de desarrollo, la fórmula de aplicación es la siguiente:</w:t>
      </w:r>
    </w:p>
    <w:p w14:paraId="000000B0" w14:textId="7F3DB614" w:rsidR="00E6009A" w:rsidRPr="00176D78" w:rsidRDefault="00176D78" w:rsidP="00EA4C1F">
      <w:pPr>
        <w:spacing w:line="480" w:lineRule="auto"/>
        <w:jc w:val="both"/>
        <w:rPr>
          <w:rFonts w:ascii="Times New Roman" w:eastAsia="Times New Roman" w:hAnsi="Times New Roman" w:cs="Times New Roman"/>
          <w:sz w:val="24"/>
          <w:szCs w:val="24"/>
          <w:lang w:val="es-ES"/>
        </w:rPr>
      </w:pPr>
      <m:oMathPara>
        <m:oMath>
          <m:sSubSup>
            <m:sSubSupPr>
              <m:ctrlPr>
                <w:rPr>
                  <w:rFonts w:ascii="Cambria Math" w:eastAsia="Times New Roman" w:hAnsi="Cambria Math" w:cs="Times New Roman"/>
                  <w:i/>
                  <w:sz w:val="24"/>
                  <w:szCs w:val="24"/>
                  <w:lang w:val="en-US"/>
                </w:rPr>
              </m:ctrlPr>
            </m:sSubSupPr>
            <m:e>
              <m:r>
                <w:rPr>
                  <w:rFonts w:ascii="Cambria Math" w:eastAsia="Times New Roman" w:hAnsi="Cambria Math" w:cs="Times New Roman"/>
                  <w:sz w:val="24"/>
                  <w:szCs w:val="24"/>
                  <w:lang w:val="en-US"/>
                </w:rPr>
                <m:t>StoInc</m:t>
              </m:r>
            </m:e>
            <m:sub>
              <m:r>
                <w:rPr>
                  <w:rFonts w:ascii="Cambria Math" w:eastAsia="Times New Roman" w:hAnsi="Cambria Math" w:cs="Times New Roman"/>
                  <w:sz w:val="24"/>
                  <w:szCs w:val="24"/>
                  <w:lang w:val="en-US"/>
                </w:rPr>
                <m:t>i,j</m:t>
              </m:r>
            </m:sub>
            <m:sup>
              <m:r>
                <w:rPr>
                  <w:rFonts w:ascii="Cambria Math" w:eastAsia="Times New Roman" w:hAnsi="Cambria Math" w:cs="Times New Roman"/>
                  <w:sz w:val="24"/>
                  <w:szCs w:val="24"/>
                  <w:lang w:val="en-US"/>
                </w:rPr>
                <m:t>jun2024</m:t>
              </m:r>
            </m:sup>
          </m:sSubSup>
          <m:r>
            <w:rPr>
              <w:rFonts w:ascii="Cambria Math" w:eastAsia="Times New Roman" w:hAnsi="Cambria Math" w:cs="Times New Roman"/>
              <w:sz w:val="24"/>
              <w:szCs w:val="24"/>
              <w:lang w:val="es-ES"/>
            </w:rPr>
            <m:t xml:space="preserve"> = </m:t>
          </m:r>
          <m:r>
            <w:rPr>
              <w:rFonts w:ascii="Cambria Math" w:eastAsia="Times New Roman" w:hAnsi="Cambria Math" w:cs="Times New Roman"/>
              <w:sz w:val="24"/>
              <w:szCs w:val="24"/>
              <w:lang w:val="en-US"/>
            </w:rPr>
            <m:t>Factor</m:t>
          </m:r>
          <m:r>
            <w:rPr>
              <w:rFonts w:ascii="Cambria Math" w:eastAsia="Times New Roman" w:hAnsi="Cambria Math" w:cs="Times New Roman"/>
              <w:sz w:val="24"/>
              <w:szCs w:val="24"/>
            </w:rPr>
            <m:t xml:space="preserve"> </m:t>
          </m:r>
          <m:r>
            <w:rPr>
              <w:rFonts w:ascii="Cambria Math" w:eastAsia="Times New Roman" w:hAnsi="Cambria Math" w:cs="Times New Roman"/>
              <w:sz w:val="24"/>
              <w:szCs w:val="24"/>
              <w:lang w:val="en-US"/>
            </w:rPr>
            <m:t>de</m:t>
          </m:r>
          <m:r>
            <w:rPr>
              <w:rFonts w:ascii="Cambria Math" w:eastAsia="Times New Roman" w:hAnsi="Cambria Math" w:cs="Times New Roman"/>
              <w:sz w:val="24"/>
              <w:szCs w:val="24"/>
            </w:rPr>
            <m:t xml:space="preserve"> </m:t>
          </m:r>
          <m:r>
            <w:rPr>
              <w:rFonts w:ascii="Cambria Math" w:eastAsia="Times New Roman" w:hAnsi="Cambria Math" w:cs="Times New Roman"/>
              <w:sz w:val="24"/>
              <w:szCs w:val="24"/>
              <w:lang w:val="en-US"/>
            </w:rPr>
            <m:t>Ajust</m:t>
          </m:r>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e</m:t>
              </m:r>
            </m:e>
            <m:sub>
              <m:r>
                <w:rPr>
                  <w:rFonts w:ascii="Cambria Math" w:eastAsia="Times New Roman" w:hAnsi="Cambria Math" w:cs="Times New Roman"/>
                  <w:sz w:val="24"/>
                  <w:szCs w:val="24"/>
                  <w:lang w:val="en-US"/>
                </w:rPr>
                <m:t>t</m:t>
              </m:r>
            </m:sub>
          </m:sSub>
          <m:r>
            <w:rPr>
              <w:rFonts w:ascii="Cambria Math" w:eastAsia="Times New Roman" w:hAnsi="Cambria Math" w:cs="Times New Roman"/>
              <w:sz w:val="24"/>
              <w:szCs w:val="24"/>
              <w:lang w:val="es-ES"/>
            </w:rPr>
            <m:t xml:space="preserve"> * </m:t>
          </m:r>
          <m:sSubSup>
            <m:sSubSupPr>
              <m:ctrlPr>
                <w:rPr>
                  <w:rFonts w:ascii="Cambria Math" w:eastAsia="Times New Roman" w:hAnsi="Cambria Math" w:cs="Times New Roman"/>
                  <w:i/>
                  <w:sz w:val="24"/>
                  <w:szCs w:val="24"/>
                  <w:lang w:val="en-US"/>
                </w:rPr>
              </m:ctrlPr>
            </m:sSubSupPr>
            <m:e>
              <m:r>
                <w:rPr>
                  <w:rFonts w:ascii="Cambria Math" w:eastAsia="Times New Roman" w:hAnsi="Cambria Math" w:cs="Times New Roman"/>
                  <w:sz w:val="24"/>
                  <w:szCs w:val="24"/>
                  <w:lang w:val="en-US"/>
                </w:rPr>
                <m:t>StoInc</m:t>
              </m:r>
            </m:e>
            <m:sub>
              <m:r>
                <w:rPr>
                  <w:rFonts w:ascii="Cambria Math" w:eastAsia="Times New Roman" w:hAnsi="Cambria Math" w:cs="Times New Roman"/>
                  <w:sz w:val="24"/>
                  <w:szCs w:val="24"/>
                  <w:lang w:val="en-US"/>
                </w:rPr>
                <m:t>i,j</m:t>
              </m:r>
            </m:sub>
            <m:sup>
              <m:r>
                <w:rPr>
                  <w:rFonts w:ascii="Cambria Math" w:eastAsia="Times New Roman" w:hAnsi="Cambria Math" w:cs="Times New Roman"/>
                  <w:sz w:val="24"/>
                  <w:szCs w:val="24"/>
                  <w:lang w:val="en-US"/>
                </w:rPr>
                <m:t>t</m:t>
              </m:r>
            </m:sup>
          </m:sSubSup>
        </m:oMath>
      </m:oMathPara>
    </w:p>
    <w:p w14:paraId="7A17CB9A" w14:textId="02FB7AFA" w:rsidR="00176D78" w:rsidRDefault="00176D78" w:rsidP="00EA4C1F">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Donde:</w:t>
      </w:r>
    </w:p>
    <w:p w14:paraId="734655F9" w14:textId="089489EF" w:rsidR="00176D78" w:rsidRPr="00176D78" w:rsidRDefault="00176D78" w:rsidP="00176D78">
      <w:pPr>
        <w:pStyle w:val="ListParagraph"/>
        <w:numPr>
          <w:ilvl w:val="0"/>
          <w:numId w:val="16"/>
        </w:numPr>
        <w:spacing w:line="480" w:lineRule="auto"/>
        <w:jc w:val="both"/>
        <w:rPr>
          <w:rFonts w:ascii="Times New Roman" w:eastAsia="Times New Roman" w:hAnsi="Times New Roman" w:cs="Times New Roman"/>
          <w:sz w:val="24"/>
          <w:szCs w:val="24"/>
        </w:rPr>
      </w:pPr>
      <m:oMath>
        <m:sSubSup>
          <m:sSubSupPr>
            <m:ctrlPr>
              <w:rPr>
                <w:rFonts w:ascii="Cambria Math" w:eastAsia="Times New Roman" w:hAnsi="Cambria Math" w:cs="Times New Roman"/>
                <w:i/>
                <w:sz w:val="24"/>
                <w:szCs w:val="24"/>
                <w:lang w:val="en-US"/>
              </w:rPr>
            </m:ctrlPr>
          </m:sSubSupPr>
          <m:e>
            <m:r>
              <w:rPr>
                <w:rFonts w:ascii="Cambria Math" w:eastAsia="Times New Roman" w:hAnsi="Cambria Math" w:cs="Times New Roman"/>
                <w:sz w:val="24"/>
                <w:szCs w:val="24"/>
                <w:lang w:val="en-US"/>
              </w:rPr>
              <m:t>StoInc</m:t>
            </m:r>
          </m:e>
          <m:sub>
            <m:r>
              <w:rPr>
                <w:rFonts w:ascii="Cambria Math" w:eastAsia="Times New Roman" w:hAnsi="Cambria Math" w:cs="Times New Roman"/>
                <w:sz w:val="24"/>
                <w:szCs w:val="24"/>
                <w:lang w:val="en-US"/>
              </w:rPr>
              <m:t>i</m:t>
            </m:r>
            <m:r>
              <w:rPr>
                <w:rFonts w:ascii="Cambria Math" w:eastAsia="Times New Roman" w:hAnsi="Cambria Math" w:cs="Times New Roman"/>
                <w:sz w:val="24"/>
                <w:szCs w:val="24"/>
                <w:lang w:val="es-ES"/>
              </w:rPr>
              <m:t>,</m:t>
            </m:r>
            <m:r>
              <w:rPr>
                <w:rFonts w:ascii="Cambria Math" w:eastAsia="Times New Roman" w:hAnsi="Cambria Math" w:cs="Times New Roman"/>
                <w:sz w:val="24"/>
                <w:szCs w:val="24"/>
                <w:lang w:val="en-US"/>
              </w:rPr>
              <m:t>j</m:t>
            </m:r>
          </m:sub>
          <m:sup>
            <m:r>
              <w:rPr>
                <w:rFonts w:ascii="Cambria Math" w:eastAsia="Times New Roman" w:hAnsi="Cambria Math" w:cs="Times New Roman"/>
                <w:sz w:val="24"/>
                <w:szCs w:val="24"/>
                <w:lang w:val="en-US"/>
              </w:rPr>
              <m:t>jun</m:t>
            </m:r>
            <m:r>
              <w:rPr>
                <w:rFonts w:ascii="Cambria Math" w:eastAsia="Times New Roman" w:hAnsi="Cambria Math" w:cs="Times New Roman"/>
                <w:sz w:val="24"/>
                <w:szCs w:val="24"/>
                <w:lang w:val="es-ES"/>
              </w:rPr>
              <m:t>2024</m:t>
            </m:r>
          </m:sup>
        </m:sSubSup>
      </m:oMath>
      <w:r w:rsidRPr="00176D78">
        <w:rPr>
          <w:rFonts w:ascii="Times New Roman" w:eastAsia="Times New Roman" w:hAnsi="Times New Roman" w:cs="Times New Roman"/>
          <w:sz w:val="24"/>
          <w:szCs w:val="24"/>
          <w:lang w:val="es-ES"/>
        </w:rPr>
        <w:t xml:space="preserve"> </w:t>
      </w:r>
      <w:r>
        <w:rPr>
          <w:rFonts w:ascii="Times New Roman" w:eastAsia="Times New Roman" w:hAnsi="Times New Roman" w:cs="Times New Roman"/>
          <w:sz w:val="24"/>
          <w:szCs w:val="24"/>
          <w:lang w:val="es-ES"/>
        </w:rPr>
        <w:t>es la suma de los Siniestros Incurridos en el año “i” con periodo de desarrollo “j”, actualizado al 30 de junio de 2024</w:t>
      </w:r>
    </w:p>
    <w:p w14:paraId="24891022" w14:textId="0CDD8005" w:rsidR="00176D78" w:rsidRPr="00176D78" w:rsidRDefault="00176D78" w:rsidP="00176D78">
      <w:pPr>
        <w:pStyle w:val="ListParagraph"/>
        <w:numPr>
          <w:ilvl w:val="0"/>
          <w:numId w:val="16"/>
        </w:numPr>
        <w:spacing w:line="480" w:lineRule="auto"/>
        <w:jc w:val="both"/>
        <w:rPr>
          <w:rFonts w:ascii="Times New Roman" w:eastAsia="Times New Roman" w:hAnsi="Times New Roman" w:cs="Times New Roman"/>
          <w:sz w:val="24"/>
          <w:szCs w:val="24"/>
        </w:rPr>
      </w:pPr>
      <m:oMath>
        <m:r>
          <w:rPr>
            <w:rFonts w:ascii="Cambria Math" w:eastAsia="Times New Roman" w:hAnsi="Cambria Math" w:cs="Times New Roman"/>
            <w:sz w:val="24"/>
            <w:szCs w:val="24"/>
            <w:lang w:val="en-US"/>
          </w:rPr>
          <m:t>Factor</m:t>
        </m:r>
        <m:r>
          <w:rPr>
            <w:rFonts w:ascii="Cambria Math" w:eastAsia="Times New Roman" w:hAnsi="Cambria Math" w:cs="Times New Roman"/>
            <w:sz w:val="24"/>
            <w:szCs w:val="24"/>
          </w:rPr>
          <m:t xml:space="preserve"> </m:t>
        </m:r>
        <m:r>
          <w:rPr>
            <w:rFonts w:ascii="Cambria Math" w:eastAsia="Times New Roman" w:hAnsi="Cambria Math" w:cs="Times New Roman"/>
            <w:sz w:val="24"/>
            <w:szCs w:val="24"/>
            <w:lang w:val="en-US"/>
          </w:rPr>
          <m:t>de</m:t>
        </m:r>
        <m:r>
          <w:rPr>
            <w:rFonts w:ascii="Cambria Math" w:eastAsia="Times New Roman" w:hAnsi="Cambria Math" w:cs="Times New Roman"/>
            <w:sz w:val="24"/>
            <w:szCs w:val="24"/>
          </w:rPr>
          <m:t xml:space="preserve"> </m:t>
        </m:r>
        <m:r>
          <w:rPr>
            <w:rFonts w:ascii="Cambria Math" w:eastAsia="Times New Roman" w:hAnsi="Cambria Math" w:cs="Times New Roman"/>
            <w:sz w:val="24"/>
            <w:szCs w:val="24"/>
            <w:lang w:val="en-US"/>
          </w:rPr>
          <m:t>Ajust</m:t>
        </m:r>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e</m:t>
            </m:r>
          </m:e>
          <m:sub>
            <m:r>
              <w:rPr>
                <w:rFonts w:ascii="Cambria Math" w:eastAsia="Times New Roman" w:hAnsi="Cambria Math" w:cs="Times New Roman"/>
                <w:sz w:val="24"/>
                <w:szCs w:val="24"/>
                <w:lang w:val="en-US"/>
              </w:rPr>
              <m:t>t</m:t>
            </m:r>
          </m:sub>
        </m:sSub>
      </m:oMath>
      <w:r w:rsidRPr="00176D78">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es el factor de ajuste por inflación a junio 2024 desde la fecha de valuación “t”</w:t>
      </w:r>
    </w:p>
    <w:p w14:paraId="000000B1"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Una vez actualizados los siniestros, la normativa permite extraer los siniestros extraordinarios. Estos se definen como aquellos que representan un monto mayor al 10% del total para el año de ocurrencia y periodo de desarrollo. Dado que asumimos que no hay presencia de siniestros anómalos en la base, este cálculo no es necesario.</w:t>
      </w:r>
    </w:p>
    <w:p w14:paraId="000000B2" w14:textId="77777777" w:rsidR="00E6009A" w:rsidRPr="00EA4C1F" w:rsidRDefault="00000000" w:rsidP="00EA4C1F">
      <w:pPr>
        <w:spacing w:line="480" w:lineRule="auto"/>
        <w:jc w:val="both"/>
        <w:rPr>
          <w:rFonts w:ascii="Times New Roman" w:hAnsi="Times New Roman" w:cs="Times New Roman"/>
        </w:rPr>
      </w:pPr>
      <w:r w:rsidRPr="00EA4C1F">
        <w:rPr>
          <w:rFonts w:ascii="Times New Roman" w:eastAsia="Times New Roman" w:hAnsi="Times New Roman" w:cs="Times New Roman"/>
          <w:sz w:val="24"/>
          <w:szCs w:val="24"/>
        </w:rPr>
        <w:t>Finalmente, la base resultante es una que cuenta con siniestros a fecha de valuación 30 de junio de 2024 y sin siniestros extraordinarios que puedan generar errores de estimación en el siguiente paso.</w:t>
      </w:r>
    </w:p>
    <w:bookmarkStart w:id="41" w:name="_heading=h.29x3y76v09b" w:colFirst="0" w:colLast="0"/>
    <w:bookmarkEnd w:id="41"/>
    <w:p w14:paraId="000000B3" w14:textId="77777777" w:rsidR="00E6009A" w:rsidRPr="00EA4C1F" w:rsidRDefault="00000000" w:rsidP="00EA4C1F">
      <w:pPr>
        <w:pStyle w:val="Heading3"/>
        <w:numPr>
          <w:ilvl w:val="2"/>
          <w:numId w:val="3"/>
        </w:numPr>
        <w:spacing w:line="480" w:lineRule="auto"/>
        <w:ind w:hanging="360"/>
        <w:jc w:val="both"/>
        <w:rPr>
          <w:rFonts w:ascii="Times New Roman" w:eastAsia="Times New Roman" w:hAnsi="Times New Roman" w:cs="Times New Roman"/>
        </w:rPr>
      </w:pPr>
      <w:sdt>
        <w:sdtPr>
          <w:rPr>
            <w:rFonts w:ascii="Times New Roman" w:hAnsi="Times New Roman" w:cs="Times New Roman"/>
          </w:rPr>
          <w:tag w:val="goog_rdk_20"/>
          <w:id w:val="274951155"/>
        </w:sdtPr>
        <w:sdtContent>
          <w:commentRangeStart w:id="42"/>
        </w:sdtContent>
      </w:sdt>
      <w:sdt>
        <w:sdtPr>
          <w:rPr>
            <w:rFonts w:ascii="Times New Roman" w:hAnsi="Times New Roman" w:cs="Times New Roman"/>
          </w:rPr>
          <w:tag w:val="goog_rdk_21"/>
          <w:id w:val="-362827992"/>
        </w:sdtPr>
        <w:sdtContent>
          <w:commentRangeStart w:id="43"/>
        </w:sdtContent>
      </w:sdt>
      <w:r w:rsidRPr="00EA4C1F">
        <w:rPr>
          <w:rFonts w:ascii="Times New Roman" w:eastAsia="Times New Roman" w:hAnsi="Times New Roman" w:cs="Times New Roman"/>
        </w:rPr>
        <w:t>Modelo de Estimación</w:t>
      </w:r>
      <w:commentRangeEnd w:id="42"/>
      <w:r w:rsidRPr="00EA4C1F">
        <w:rPr>
          <w:rFonts w:ascii="Times New Roman" w:hAnsi="Times New Roman" w:cs="Times New Roman"/>
        </w:rPr>
        <w:commentReference w:id="42"/>
      </w:r>
      <w:commentRangeEnd w:id="43"/>
      <w:r w:rsidRPr="00EA4C1F">
        <w:rPr>
          <w:rFonts w:ascii="Times New Roman" w:hAnsi="Times New Roman" w:cs="Times New Roman"/>
        </w:rPr>
        <w:commentReference w:id="43"/>
      </w:r>
    </w:p>
    <w:p w14:paraId="000000B4"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La normativa prevé la utilización del método Chain Ladder con algunas modificaciones para la estimación preliminar de la reserva por siniestros IBNR. Dicho modelo basa su razonabilidad en los siguientes supuestos:</w:t>
      </w:r>
    </w:p>
    <w:p w14:paraId="000000B5" w14:textId="77777777" w:rsidR="00E6009A" w:rsidRPr="00EA4C1F" w:rsidRDefault="00000000" w:rsidP="00EA4C1F">
      <w:pPr>
        <w:numPr>
          <w:ilvl w:val="0"/>
          <w:numId w:val="5"/>
        </w:num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Existen factores de desarrollo mayores a "0" tal que la multiplicación de </w:t>
      </w:r>
      <w:proofErr w:type="gramStart"/>
      <w:r w:rsidRPr="00EA4C1F">
        <w:rPr>
          <w:rFonts w:ascii="Times New Roman" w:eastAsia="Times New Roman" w:hAnsi="Times New Roman" w:cs="Times New Roman"/>
          <w:sz w:val="24"/>
          <w:szCs w:val="24"/>
        </w:rPr>
        <w:t>los mismos</w:t>
      </w:r>
      <w:proofErr w:type="gramEnd"/>
      <w:r w:rsidRPr="00EA4C1F">
        <w:rPr>
          <w:rFonts w:ascii="Times New Roman" w:eastAsia="Times New Roman" w:hAnsi="Times New Roman" w:cs="Times New Roman"/>
          <w:sz w:val="24"/>
          <w:szCs w:val="24"/>
        </w:rPr>
        <w:t xml:space="preserve"> me da el desarrollo promedio de un siniestro para cierto año de ocurrencia.</w:t>
      </w:r>
    </w:p>
    <w:p w14:paraId="000000B6" w14:textId="77777777" w:rsidR="00E6009A" w:rsidRPr="00EA4C1F" w:rsidRDefault="00000000" w:rsidP="00EA4C1F">
      <w:pPr>
        <w:numPr>
          <w:ilvl w:val="0"/>
          <w:numId w:val="5"/>
        </w:num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Cada siniestro es independiente por año de </w:t>
      </w:r>
      <w:proofErr w:type="gramStart"/>
      <w:r w:rsidRPr="00EA4C1F">
        <w:rPr>
          <w:rFonts w:ascii="Times New Roman" w:eastAsia="Times New Roman" w:hAnsi="Times New Roman" w:cs="Times New Roman"/>
          <w:sz w:val="24"/>
          <w:szCs w:val="24"/>
        </w:rPr>
        <w:t>ocurrencia</w:t>
      </w:r>
      <w:proofErr w:type="gramEnd"/>
      <w:r w:rsidRPr="00EA4C1F">
        <w:rPr>
          <w:rFonts w:ascii="Times New Roman" w:eastAsia="Times New Roman" w:hAnsi="Times New Roman" w:cs="Times New Roman"/>
          <w:sz w:val="24"/>
          <w:szCs w:val="24"/>
        </w:rPr>
        <w:t xml:space="preserve"> pero no por periodo de desarrollo.</w:t>
      </w:r>
    </w:p>
    <w:p w14:paraId="000000B7"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Teniendo esto en cuenta, el RGAA define los siguientes conceptos:</w:t>
      </w:r>
    </w:p>
    <w:p w14:paraId="000000B8" w14:textId="77777777" w:rsidR="00E6009A" w:rsidRPr="00EA4C1F" w:rsidRDefault="00000000" w:rsidP="00EA4C1F">
      <w:pPr>
        <w:numPr>
          <w:ilvl w:val="0"/>
          <w:numId w:val="15"/>
        </w:num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“Período de ocurrencia”, como el período de 12 meses comprendido entre el 1° de julio de un año y el 30 de junio del año siguiente.</w:t>
      </w:r>
    </w:p>
    <w:p w14:paraId="000000B9" w14:textId="77777777" w:rsidR="00E6009A" w:rsidRPr="00EA4C1F" w:rsidRDefault="00000000" w:rsidP="00EA4C1F">
      <w:pPr>
        <w:numPr>
          <w:ilvl w:val="0"/>
          <w:numId w:val="15"/>
        </w:num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“Período de desarrollo” a los períodos de 12 meses comprendidos entre el 1° de julio</w:t>
      </w:r>
    </w:p>
    <w:p w14:paraId="000000BA" w14:textId="77777777" w:rsidR="00E6009A" w:rsidRPr="00EA4C1F" w:rsidRDefault="00000000" w:rsidP="00EA4C1F">
      <w:pPr>
        <w:spacing w:line="480" w:lineRule="auto"/>
        <w:ind w:left="720"/>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 de un año dado y el 30 de junio del año siguiente y los períodos de 12 meses sucesivos. Cada “período de desarrollo” debe cumplir las siguientes condiciones:</w:t>
      </w:r>
    </w:p>
    <w:p w14:paraId="000000BB" w14:textId="77777777" w:rsidR="00E6009A" w:rsidRPr="00EA4C1F" w:rsidRDefault="00000000" w:rsidP="00EA4C1F">
      <w:pPr>
        <w:numPr>
          <w:ilvl w:val="1"/>
          <w:numId w:val="15"/>
        </w:num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El primer “período de desarrollo” debe coincidir con el período de ocurrencia</w:t>
      </w:r>
    </w:p>
    <w:p w14:paraId="000000BC" w14:textId="77777777" w:rsidR="00E6009A" w:rsidRPr="00EA4C1F" w:rsidRDefault="00000000" w:rsidP="00EA4C1F">
      <w:pPr>
        <w:numPr>
          <w:ilvl w:val="1"/>
          <w:numId w:val="15"/>
        </w:num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Los siguientes deben corresponder a los períodos anuales posteriores. En éstos, el importe de los siniestros consignados debe corresponder al mismo período de ocurrencia.</w:t>
      </w:r>
    </w:p>
    <w:p w14:paraId="000000BD" w14:textId="77777777" w:rsidR="00E6009A" w:rsidRPr="00EA4C1F" w:rsidRDefault="00000000" w:rsidP="00EA4C1F">
      <w:pPr>
        <w:numPr>
          <w:ilvl w:val="0"/>
          <w:numId w:val="15"/>
        </w:num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“Factor de desarrollo acumulado” indica el valor estimado en el cual los siniestros deben ser incrementados por la demora en su denuncia y la insuficiente valoración de la RSP.</w:t>
      </w:r>
    </w:p>
    <w:p w14:paraId="000000BE" w14:textId="77777777" w:rsidR="00E6009A" w:rsidRPr="00EA4C1F" w:rsidRDefault="00000000" w:rsidP="00EA4C1F">
      <w:pPr>
        <w:numPr>
          <w:ilvl w:val="0"/>
          <w:numId w:val="15"/>
        </w:num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lastRenderedPageBreak/>
        <w:t>“Última pérdida estimada” al importe que surge del producto entre el “factor de desarrollo acumulado” y los siniestros incurridos (pagados y pendientes) en cada período de ocurrencia.</w:t>
      </w:r>
    </w:p>
    <w:p w14:paraId="000000BF"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Sobre estos conceptos, se reordena la tabla, agrupando siniestros incurridos por Periodo de Ocurrencia en el eje horizontal y Periodo de desarrollo en el eje vertical. La tabla resultante se estructurará de la siguiente forma:</w:t>
      </w:r>
      <w:r w:rsidRPr="00EA4C1F">
        <w:rPr>
          <w:rFonts w:ascii="Times New Roman" w:eastAsia="Times New Roman" w:hAnsi="Times New Roman" w:cs="Times New Roman"/>
          <w:noProof/>
          <w:sz w:val="24"/>
          <w:szCs w:val="24"/>
        </w:rPr>
        <w:drawing>
          <wp:inline distT="114300" distB="114300" distL="114300" distR="114300" wp14:anchorId="614945AF" wp14:editId="53033DBD">
            <wp:extent cx="5943600" cy="2044700"/>
            <wp:effectExtent l="0" t="0" r="0" b="0"/>
            <wp:docPr id="21"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7"/>
                    <a:srcRect/>
                    <a:stretch>
                      <a:fillRect/>
                    </a:stretch>
                  </pic:blipFill>
                  <pic:spPr>
                    <a:xfrm>
                      <a:off x="0" y="0"/>
                      <a:ext cx="5943600" cy="2044700"/>
                    </a:xfrm>
                    <a:prstGeom prst="rect">
                      <a:avLst/>
                    </a:prstGeom>
                    <a:ln/>
                  </pic:spPr>
                </pic:pic>
              </a:graphicData>
            </a:graphic>
          </wp:inline>
        </w:drawing>
      </w:r>
    </w:p>
    <w:p w14:paraId="000000C0"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Como siguiente paso, se procede a calcular los factores de desarrollo individuales, cuya </w:t>
      </w:r>
      <w:proofErr w:type="spellStart"/>
      <w:r w:rsidRPr="00EA4C1F">
        <w:rPr>
          <w:rFonts w:ascii="Times New Roman" w:eastAsia="Times New Roman" w:hAnsi="Times New Roman" w:cs="Times New Roman"/>
          <w:sz w:val="24"/>
          <w:szCs w:val="24"/>
        </w:rPr>
        <w:t>productoria</w:t>
      </w:r>
      <w:proofErr w:type="spellEnd"/>
      <w:r w:rsidRPr="00EA4C1F">
        <w:rPr>
          <w:rFonts w:ascii="Times New Roman" w:eastAsia="Times New Roman" w:hAnsi="Times New Roman" w:cs="Times New Roman"/>
          <w:sz w:val="24"/>
          <w:szCs w:val="24"/>
        </w:rPr>
        <w:t xml:space="preserve"> resulta en los factores de desarrollo acumulados, definidos anteriormente. Esto se hace como la siguiente fórmula:</w:t>
      </w:r>
    </w:p>
    <w:p w14:paraId="000000C1" w14:textId="2BFD3854" w:rsidR="00E6009A" w:rsidRDefault="00000000" w:rsidP="00EA4C1F">
      <w:pPr>
        <w:spacing w:line="480" w:lineRule="auto"/>
        <w:jc w:val="both"/>
        <w:rPr>
          <w:rFonts w:ascii="Times New Roman" w:hAnsi="Times New Roman" w:cs="Times New Roman"/>
        </w:rPr>
      </w:pPr>
      <w:sdt>
        <w:sdtPr>
          <w:rPr>
            <w:rFonts w:ascii="Times New Roman" w:hAnsi="Times New Roman" w:cs="Times New Roman"/>
          </w:rPr>
          <w:tag w:val="goog_rdk_22"/>
          <w:id w:val="-287282719"/>
        </w:sdtPr>
        <w:sdtContent>
          <w:commentRangeStart w:id="44"/>
        </w:sdtContent>
      </w:sdt>
      <w:commentRangeEnd w:id="44"/>
      <w:r w:rsidRPr="00EA4C1F">
        <w:rPr>
          <w:rFonts w:ascii="Times New Roman" w:hAnsi="Times New Roman" w:cs="Times New Roman"/>
        </w:rPr>
        <w:commentReference w:id="44"/>
      </w:r>
    </w:p>
    <w:p w14:paraId="2E4E24C3" w14:textId="400F37A8" w:rsidR="00592576" w:rsidRPr="00592576" w:rsidRDefault="00592576" w:rsidP="00EA4C1F">
      <w:pPr>
        <w:spacing w:line="480" w:lineRule="auto"/>
        <w:jc w:val="both"/>
        <w:rPr>
          <w:rFonts w:ascii="Times New Roman" w:eastAsia="Times New Roman" w:hAnsi="Times New Roman" w:cs="Times New Roman"/>
          <w:sz w:val="28"/>
          <w:szCs w:val="28"/>
        </w:rPr>
      </w:pPr>
      <m:oMathPara>
        <m:oMath>
          <m:sSub>
            <m:sSubPr>
              <m:ctrlPr>
                <w:rPr>
                  <w:rFonts w:ascii="Cambria Math" w:eastAsia="Times New Roman" w:hAnsi="Cambria Math" w:cs="Times New Roman"/>
                  <w:i/>
                  <w:sz w:val="28"/>
                  <w:szCs w:val="28"/>
                </w:rPr>
              </m:ctrlPr>
            </m:sSubPr>
            <m:e>
              <m:r>
                <w:rPr>
                  <w:rFonts w:ascii="Cambria Math" w:eastAsia="Times New Roman" w:hAnsi="Cambria Math" w:cs="Times New Roman"/>
                  <w:sz w:val="28"/>
                  <w:szCs w:val="28"/>
                </w:rPr>
                <m:t>f</m:t>
              </m:r>
            </m:e>
            <m:sub>
              <m:r>
                <w:rPr>
                  <w:rFonts w:ascii="Cambria Math" w:eastAsia="Times New Roman" w:hAnsi="Cambria Math" w:cs="Times New Roman"/>
                  <w:sz w:val="28"/>
                  <w:szCs w:val="28"/>
                </w:rPr>
                <m:t>j</m:t>
              </m:r>
            </m:sub>
          </m:sSub>
          <m:r>
            <w:rPr>
              <w:rFonts w:ascii="Cambria Math" w:eastAsia="Times New Roman" w:hAnsi="Cambria Math" w:cs="Times New Roman"/>
              <w:sz w:val="28"/>
              <w:szCs w:val="28"/>
            </w:rPr>
            <m:t>=</m:t>
          </m:r>
          <m:f>
            <m:fPr>
              <m:ctrlPr>
                <w:rPr>
                  <w:rFonts w:ascii="Cambria Math" w:eastAsia="Times New Roman" w:hAnsi="Cambria Math" w:cs="Times New Roman"/>
                  <w:i/>
                  <w:sz w:val="28"/>
                  <w:szCs w:val="28"/>
                </w:rPr>
              </m:ctrlPr>
            </m:fPr>
            <m:num>
              <m:nary>
                <m:naryPr>
                  <m:chr m:val="∑"/>
                  <m:limLoc m:val="undOvr"/>
                  <m:ctrlPr>
                    <w:rPr>
                      <w:rFonts w:ascii="Cambria Math" w:eastAsia="Times New Roman" w:hAnsi="Cambria Math" w:cs="Times New Roman"/>
                      <w:i/>
                      <w:sz w:val="28"/>
                      <w:szCs w:val="28"/>
                    </w:rPr>
                  </m:ctrlPr>
                </m:naryPr>
                <m:sub>
                  <m:r>
                    <w:rPr>
                      <w:rFonts w:ascii="Cambria Math" w:eastAsia="Times New Roman" w:hAnsi="Cambria Math" w:cs="Times New Roman"/>
                      <w:sz w:val="28"/>
                      <w:szCs w:val="28"/>
                    </w:rPr>
                    <m:t>i=1</m:t>
                  </m:r>
                </m:sub>
                <m:sup>
                  <m:r>
                    <w:rPr>
                      <w:rFonts w:ascii="Cambria Math" w:eastAsia="Times New Roman" w:hAnsi="Cambria Math" w:cs="Times New Roman"/>
                      <w:sz w:val="28"/>
                      <w:szCs w:val="28"/>
                    </w:rPr>
                    <m:t>I-j</m:t>
                  </m:r>
                </m:sup>
                <m:e>
                  <m:sSub>
                    <m:sSubPr>
                      <m:ctrlPr>
                        <w:rPr>
                          <w:rFonts w:ascii="Cambria Math" w:eastAsia="Times New Roman" w:hAnsi="Cambria Math" w:cs="Times New Roman"/>
                          <w:i/>
                          <w:sz w:val="28"/>
                          <w:szCs w:val="28"/>
                        </w:rPr>
                      </m:ctrlPr>
                    </m:sSubPr>
                    <m:e>
                      <m:r>
                        <w:rPr>
                          <w:rFonts w:ascii="Cambria Math" w:eastAsia="Times New Roman" w:hAnsi="Cambria Math" w:cs="Times New Roman"/>
                          <w:sz w:val="28"/>
                          <w:szCs w:val="28"/>
                        </w:rPr>
                        <m:t>C</m:t>
                      </m:r>
                    </m:e>
                    <m:sub>
                      <m:r>
                        <w:rPr>
                          <w:rFonts w:ascii="Cambria Math" w:eastAsia="Times New Roman" w:hAnsi="Cambria Math" w:cs="Times New Roman"/>
                          <w:sz w:val="28"/>
                          <w:szCs w:val="28"/>
                        </w:rPr>
                        <m:t>i,j+1</m:t>
                      </m:r>
                    </m:sub>
                  </m:sSub>
                </m:e>
              </m:nary>
            </m:num>
            <m:den>
              <m:nary>
                <m:naryPr>
                  <m:chr m:val="∑"/>
                  <m:limLoc m:val="undOvr"/>
                  <m:ctrlPr>
                    <w:rPr>
                      <w:rFonts w:ascii="Cambria Math" w:eastAsia="Times New Roman" w:hAnsi="Cambria Math" w:cs="Times New Roman"/>
                      <w:i/>
                      <w:sz w:val="28"/>
                      <w:szCs w:val="28"/>
                    </w:rPr>
                  </m:ctrlPr>
                </m:naryPr>
                <m:sub>
                  <m:r>
                    <w:rPr>
                      <w:rFonts w:ascii="Cambria Math" w:eastAsia="Times New Roman" w:hAnsi="Cambria Math" w:cs="Times New Roman"/>
                      <w:sz w:val="28"/>
                      <w:szCs w:val="28"/>
                    </w:rPr>
                    <m:t>i=1</m:t>
                  </m:r>
                </m:sub>
                <m:sup>
                  <m:r>
                    <w:rPr>
                      <w:rFonts w:ascii="Cambria Math" w:eastAsia="Times New Roman" w:hAnsi="Cambria Math" w:cs="Times New Roman"/>
                      <w:sz w:val="28"/>
                      <w:szCs w:val="28"/>
                    </w:rPr>
                    <m:t>I-j</m:t>
                  </m:r>
                </m:sup>
                <m:e>
                  <m:sSub>
                    <m:sSubPr>
                      <m:ctrlPr>
                        <w:rPr>
                          <w:rFonts w:ascii="Cambria Math" w:eastAsia="Times New Roman" w:hAnsi="Cambria Math" w:cs="Times New Roman"/>
                          <w:i/>
                          <w:sz w:val="28"/>
                          <w:szCs w:val="28"/>
                        </w:rPr>
                      </m:ctrlPr>
                    </m:sSubPr>
                    <m:e>
                      <m:r>
                        <w:rPr>
                          <w:rFonts w:ascii="Cambria Math" w:eastAsia="Times New Roman" w:hAnsi="Cambria Math" w:cs="Times New Roman"/>
                          <w:sz w:val="28"/>
                          <w:szCs w:val="28"/>
                        </w:rPr>
                        <m:t>C</m:t>
                      </m:r>
                    </m:e>
                    <m:sub>
                      <m:r>
                        <w:rPr>
                          <w:rFonts w:ascii="Cambria Math" w:eastAsia="Times New Roman" w:hAnsi="Cambria Math" w:cs="Times New Roman"/>
                          <w:sz w:val="28"/>
                          <w:szCs w:val="28"/>
                        </w:rPr>
                        <m:t>i,j</m:t>
                      </m:r>
                    </m:sub>
                  </m:sSub>
                </m:e>
              </m:nary>
            </m:den>
          </m:f>
          <m:r>
            <w:rPr>
              <w:rFonts w:ascii="Cambria Math" w:eastAsia="Times New Roman" w:hAnsi="Cambria Math" w:cs="Times New Roman"/>
              <w:sz w:val="28"/>
              <w:szCs w:val="28"/>
            </w:rPr>
            <m:t xml:space="preserve">          0≤j≤I-1</m:t>
          </m:r>
        </m:oMath>
      </m:oMathPara>
    </w:p>
    <w:p w14:paraId="000000C2"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Donde:</w:t>
      </w:r>
    </w:p>
    <w:p w14:paraId="000000C3" w14:textId="21343975" w:rsidR="00E6009A" w:rsidRPr="00EA4C1F" w:rsidRDefault="00592576" w:rsidP="00EA4C1F">
      <w:pPr>
        <w:numPr>
          <w:ilvl w:val="0"/>
          <w:numId w:val="7"/>
        </w:numPr>
        <w:spacing w:after="0" w:line="480" w:lineRule="auto"/>
        <w:jc w:val="both"/>
        <w:rPr>
          <w:rFonts w:ascii="Times New Roman" w:eastAsia="Times New Roman" w:hAnsi="Times New Roman" w:cs="Times New Roman"/>
          <w:sz w:val="24"/>
          <w:szCs w:val="24"/>
        </w:rPr>
      </w:pPr>
      <m:oMath>
        <m:sSub>
          <m:sSubPr>
            <m:ctrlPr>
              <w:rPr>
                <w:rFonts w:ascii="Cambria Math" w:eastAsia="Times New Roman" w:hAnsi="Cambria Math" w:cs="Times New Roman"/>
                <w:i/>
                <w:sz w:val="28"/>
                <w:szCs w:val="28"/>
              </w:rPr>
            </m:ctrlPr>
          </m:sSubPr>
          <m:e>
            <m:r>
              <w:rPr>
                <w:rFonts w:ascii="Cambria Math" w:eastAsia="Times New Roman" w:hAnsi="Cambria Math" w:cs="Times New Roman"/>
                <w:sz w:val="28"/>
                <w:szCs w:val="28"/>
              </w:rPr>
              <m:t>f</m:t>
            </m:r>
          </m:e>
          <m:sub>
            <m:r>
              <w:rPr>
                <w:rFonts w:ascii="Cambria Math" w:eastAsia="Times New Roman" w:hAnsi="Cambria Math" w:cs="Times New Roman"/>
                <w:sz w:val="28"/>
                <w:szCs w:val="28"/>
              </w:rPr>
              <m:t>j</m:t>
            </m:r>
          </m:sub>
        </m:sSub>
      </m:oMath>
      <w:r w:rsidR="00000000" w:rsidRPr="00EA4C1F">
        <w:rPr>
          <w:rFonts w:ascii="Times New Roman" w:eastAsia="Times New Roman" w:hAnsi="Times New Roman" w:cs="Times New Roman"/>
          <w:sz w:val="24"/>
          <w:szCs w:val="24"/>
        </w:rPr>
        <w:t xml:space="preserve"> es el factor estimado de desarrollo individual para el periodo de desarrollo “j”</w:t>
      </w:r>
    </w:p>
    <w:p w14:paraId="000000C4" w14:textId="7CE76117" w:rsidR="00E6009A" w:rsidRPr="00EA4C1F" w:rsidRDefault="00592576" w:rsidP="00EA4C1F">
      <w:pPr>
        <w:numPr>
          <w:ilvl w:val="0"/>
          <w:numId w:val="7"/>
        </w:numPr>
        <w:spacing w:line="480" w:lineRule="auto"/>
        <w:jc w:val="both"/>
        <w:rPr>
          <w:rFonts w:ascii="Times New Roman" w:eastAsia="Times New Roman" w:hAnsi="Times New Roman" w:cs="Times New Roman"/>
          <w:sz w:val="24"/>
          <w:szCs w:val="24"/>
        </w:rPr>
      </w:pPr>
      <m:oMath>
        <m:sSub>
          <m:sSubPr>
            <m:ctrlPr>
              <w:rPr>
                <w:rFonts w:ascii="Cambria Math" w:eastAsia="Times New Roman" w:hAnsi="Cambria Math" w:cs="Times New Roman"/>
                <w:i/>
                <w:sz w:val="28"/>
                <w:szCs w:val="28"/>
              </w:rPr>
            </m:ctrlPr>
          </m:sSubPr>
          <m:e>
            <m:r>
              <w:rPr>
                <w:rFonts w:ascii="Cambria Math" w:eastAsia="Times New Roman" w:hAnsi="Cambria Math" w:cs="Times New Roman"/>
                <w:sz w:val="28"/>
                <w:szCs w:val="28"/>
              </w:rPr>
              <m:t>C</m:t>
            </m:r>
          </m:e>
          <m:sub>
            <m:r>
              <w:rPr>
                <w:rFonts w:ascii="Cambria Math" w:eastAsia="Times New Roman" w:hAnsi="Cambria Math" w:cs="Times New Roman"/>
                <w:sz w:val="28"/>
                <w:szCs w:val="28"/>
              </w:rPr>
              <m:t>i,j</m:t>
            </m:r>
          </m:sub>
        </m:sSub>
      </m:oMath>
      <w:r w:rsidR="00000000" w:rsidRPr="00EA4C1F">
        <w:rPr>
          <w:rFonts w:ascii="Times New Roman" w:eastAsia="Times New Roman" w:hAnsi="Times New Roman" w:cs="Times New Roman"/>
          <w:sz w:val="24"/>
          <w:szCs w:val="24"/>
        </w:rPr>
        <w:t xml:space="preserve"> es el monto de siniestros acumulados para el periodo de ocurrencia “i” y el periodo de desarrollo “j”.</w:t>
      </w:r>
    </w:p>
    <w:p w14:paraId="000000C5"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Obtenidos los factores de desarrollo individuales, la normativa prevé un “factor de cola”, el cual se define como un factor de desarrollo individual que acumula el desarrollo futuro, más allá del último período observado. Su función es extender el patrón de maduración cuando los datos históricos no alcanzan a cubrir el desarrollo completo del siniestro.</w:t>
      </w:r>
    </w:p>
    <w:p w14:paraId="000000C6"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Dependiendo del ramo, se le asignará una categoría de desarrollo según la siguiente tabla:</w:t>
      </w:r>
    </w:p>
    <w:p w14:paraId="000000C7"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noProof/>
          <w:sz w:val="24"/>
          <w:szCs w:val="24"/>
        </w:rPr>
        <w:drawing>
          <wp:inline distT="114300" distB="114300" distL="114300" distR="114300" wp14:anchorId="3E645C78" wp14:editId="2B3C3525">
            <wp:extent cx="4169235" cy="2037847"/>
            <wp:effectExtent l="0" t="0" r="0" b="0"/>
            <wp:docPr id="19"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8"/>
                    <a:srcRect/>
                    <a:stretch>
                      <a:fillRect/>
                    </a:stretch>
                  </pic:blipFill>
                  <pic:spPr>
                    <a:xfrm>
                      <a:off x="0" y="0"/>
                      <a:ext cx="4169235" cy="2037847"/>
                    </a:xfrm>
                    <a:prstGeom prst="rect">
                      <a:avLst/>
                    </a:prstGeom>
                    <a:ln/>
                  </pic:spPr>
                </pic:pic>
              </a:graphicData>
            </a:graphic>
          </wp:inline>
        </w:drawing>
      </w:r>
    </w:p>
    <w:p w14:paraId="000000C8"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Como se puede observar, la cobertura de responsabilidad civil, ramo automotor corresponde la categoría de “Cola Larga”. Esto significa que el factor de cola aplicable será:</w:t>
      </w:r>
    </w:p>
    <w:p w14:paraId="000000C9" w14:textId="77777777" w:rsidR="00E6009A" w:rsidRPr="00EA4C1F" w:rsidRDefault="00000000" w:rsidP="00EA4C1F">
      <w:pPr>
        <w:numPr>
          <w:ilvl w:val="0"/>
          <w:numId w:val="14"/>
        </w:num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Para períodos de ocurrencia mayores a 6 años, el factor de cola será 1</w:t>
      </w:r>
    </w:p>
    <w:p w14:paraId="000000CA" w14:textId="77777777" w:rsidR="00E6009A" w:rsidRPr="00EA4C1F" w:rsidRDefault="00000000" w:rsidP="00EA4C1F">
      <w:pPr>
        <w:numPr>
          <w:ilvl w:val="0"/>
          <w:numId w:val="14"/>
        </w:num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Para períodos de ocurrencia de 6 años, el factor de cola será 1.05</w:t>
      </w:r>
    </w:p>
    <w:p w14:paraId="000000CB" w14:textId="77777777" w:rsidR="00E6009A" w:rsidRPr="00EA4C1F" w:rsidRDefault="00000000" w:rsidP="00EA4C1F">
      <w:pPr>
        <w:numPr>
          <w:ilvl w:val="0"/>
          <w:numId w:val="14"/>
        </w:num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Para períodos de ocurrencia de 5 años, el factor de cola será 1.1</w:t>
      </w:r>
    </w:p>
    <w:p w14:paraId="000000CC" w14:textId="77777777" w:rsidR="00E6009A" w:rsidRPr="00EA4C1F" w:rsidRDefault="00000000" w:rsidP="00EA4C1F">
      <w:pPr>
        <w:numPr>
          <w:ilvl w:val="0"/>
          <w:numId w:val="14"/>
        </w:num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Para períodos de ocurrencia menores a 5 años, se deberá aplicar otro método de estimación.</w:t>
      </w:r>
    </w:p>
    <w:p w14:paraId="000000CD"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lastRenderedPageBreak/>
        <w:t xml:space="preserve">Dado que nuestra base cuenta con 6 periodos de ocurrencia (2018 - 2024), el factor de cola a utilizar será 1.05 y se incorporará como el factor de desarrollo “j+1” en la fórmula de cálculo de los factores de desarrollo acumulados. </w:t>
      </w:r>
    </w:p>
    <w:p w14:paraId="000000CE"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Como se ha mencionado previamente, los factores de desarrollo acumulados se calculan como la </w:t>
      </w:r>
      <w:proofErr w:type="spellStart"/>
      <w:r w:rsidRPr="00EA4C1F">
        <w:rPr>
          <w:rFonts w:ascii="Times New Roman" w:eastAsia="Times New Roman" w:hAnsi="Times New Roman" w:cs="Times New Roman"/>
          <w:sz w:val="24"/>
          <w:szCs w:val="24"/>
        </w:rPr>
        <w:t>productoria</w:t>
      </w:r>
      <w:proofErr w:type="spellEnd"/>
      <w:r w:rsidRPr="00EA4C1F">
        <w:rPr>
          <w:rFonts w:ascii="Times New Roman" w:eastAsia="Times New Roman" w:hAnsi="Times New Roman" w:cs="Times New Roman"/>
          <w:sz w:val="24"/>
          <w:szCs w:val="24"/>
        </w:rPr>
        <w:t xml:space="preserve"> de los </w:t>
      </w:r>
      <w:proofErr w:type="spellStart"/>
      <w:r w:rsidRPr="00EA4C1F">
        <w:rPr>
          <w:rFonts w:ascii="Times New Roman" w:eastAsia="Times New Roman" w:hAnsi="Times New Roman" w:cs="Times New Roman"/>
          <w:sz w:val="24"/>
          <w:szCs w:val="24"/>
        </w:rPr>
        <w:t>los</w:t>
      </w:r>
      <w:proofErr w:type="spellEnd"/>
      <w:r w:rsidRPr="00EA4C1F">
        <w:rPr>
          <w:rFonts w:ascii="Times New Roman" w:eastAsia="Times New Roman" w:hAnsi="Times New Roman" w:cs="Times New Roman"/>
          <w:sz w:val="24"/>
          <w:szCs w:val="24"/>
        </w:rPr>
        <w:t xml:space="preserve"> factores de desarrollo individuales. </w:t>
      </w:r>
      <w:proofErr w:type="gramStart"/>
      <w:r w:rsidRPr="00EA4C1F">
        <w:rPr>
          <w:rFonts w:ascii="Times New Roman" w:eastAsia="Times New Roman" w:hAnsi="Times New Roman" w:cs="Times New Roman"/>
          <w:sz w:val="24"/>
          <w:szCs w:val="24"/>
        </w:rPr>
        <w:t>La fórmula a utilizar</w:t>
      </w:r>
      <w:proofErr w:type="gramEnd"/>
      <w:r w:rsidRPr="00EA4C1F">
        <w:rPr>
          <w:rFonts w:ascii="Times New Roman" w:eastAsia="Times New Roman" w:hAnsi="Times New Roman" w:cs="Times New Roman"/>
          <w:sz w:val="24"/>
          <w:szCs w:val="24"/>
        </w:rPr>
        <w:t xml:space="preserve"> se representa de la siguiente manera:</w:t>
      </w:r>
    </w:p>
    <w:p w14:paraId="000000CF" w14:textId="77777777" w:rsidR="00E6009A" w:rsidRPr="00EA4C1F" w:rsidRDefault="00000000" w:rsidP="00EA4C1F">
      <w:pPr>
        <w:spacing w:line="480" w:lineRule="auto"/>
        <w:jc w:val="both"/>
        <w:rPr>
          <w:rFonts w:ascii="Times New Roman" w:eastAsia="Times New Roman" w:hAnsi="Times New Roman" w:cs="Times New Roman"/>
          <w:sz w:val="24"/>
          <w:szCs w:val="24"/>
        </w:rPr>
      </w:pPr>
      <w:sdt>
        <w:sdtPr>
          <w:rPr>
            <w:rFonts w:ascii="Times New Roman" w:hAnsi="Times New Roman" w:cs="Times New Roman"/>
          </w:rPr>
          <w:tag w:val="goog_rdk_23"/>
          <w:id w:val="228146668"/>
        </w:sdtPr>
        <w:sdtContent>
          <w:commentRangeStart w:id="45"/>
        </w:sdtContent>
      </w:sdt>
      <w:r w:rsidRPr="00EA4C1F">
        <w:rPr>
          <w:rFonts w:ascii="Times New Roman" w:eastAsia="Times New Roman" w:hAnsi="Times New Roman" w:cs="Times New Roman"/>
          <w:sz w:val="24"/>
          <w:szCs w:val="24"/>
        </w:rPr>
        <w:t xml:space="preserve">[Escribir la fórmula como </w:t>
      </w:r>
      <w:proofErr w:type="spellStart"/>
      <w:r w:rsidRPr="00EA4C1F">
        <w:rPr>
          <w:rFonts w:ascii="Times New Roman" w:eastAsia="Times New Roman" w:hAnsi="Times New Roman" w:cs="Times New Roman"/>
          <w:sz w:val="24"/>
          <w:szCs w:val="24"/>
        </w:rPr>
        <w:t>F_j</w:t>
      </w:r>
      <w:proofErr w:type="spellEnd"/>
      <w:r w:rsidRPr="00EA4C1F">
        <w:rPr>
          <w:rFonts w:ascii="Times New Roman" w:eastAsia="Times New Roman" w:hAnsi="Times New Roman" w:cs="Times New Roman"/>
          <w:sz w:val="24"/>
          <w:szCs w:val="24"/>
        </w:rPr>
        <w:t xml:space="preserve"> = </w:t>
      </w:r>
      <w:proofErr w:type="spellStart"/>
      <w:r w:rsidRPr="00EA4C1F">
        <w:rPr>
          <w:rFonts w:ascii="Times New Roman" w:eastAsia="Times New Roman" w:hAnsi="Times New Roman" w:cs="Times New Roman"/>
          <w:sz w:val="24"/>
          <w:szCs w:val="24"/>
        </w:rPr>
        <w:t>prod</w:t>
      </w:r>
      <w:proofErr w:type="spellEnd"/>
      <w:r w:rsidRPr="00EA4C1F">
        <w:rPr>
          <w:rFonts w:ascii="Times New Roman" w:eastAsia="Times New Roman" w:hAnsi="Times New Roman" w:cs="Times New Roman"/>
          <w:sz w:val="24"/>
          <w:szCs w:val="24"/>
        </w:rPr>
        <w:t>(</w:t>
      </w:r>
      <w:proofErr w:type="spellStart"/>
      <w:r w:rsidRPr="00EA4C1F">
        <w:rPr>
          <w:rFonts w:ascii="Times New Roman" w:eastAsia="Times New Roman" w:hAnsi="Times New Roman" w:cs="Times New Roman"/>
          <w:sz w:val="24"/>
          <w:szCs w:val="24"/>
        </w:rPr>
        <w:t>f_j</w:t>
      </w:r>
      <w:proofErr w:type="spellEnd"/>
      <w:r w:rsidRPr="00EA4C1F">
        <w:rPr>
          <w:rFonts w:ascii="Times New Roman" w:eastAsia="Times New Roman" w:hAnsi="Times New Roman" w:cs="Times New Roman"/>
          <w:sz w:val="24"/>
          <w:szCs w:val="24"/>
        </w:rPr>
        <w:t>)]</w:t>
      </w:r>
      <w:commentRangeEnd w:id="45"/>
      <w:r w:rsidRPr="00EA4C1F">
        <w:rPr>
          <w:rFonts w:ascii="Times New Roman" w:hAnsi="Times New Roman" w:cs="Times New Roman"/>
        </w:rPr>
        <w:commentReference w:id="45"/>
      </w:r>
    </w:p>
    <w:p w14:paraId="000000D0" w14:textId="77777777" w:rsidR="00E6009A" w:rsidRPr="00EA4C1F" w:rsidRDefault="00E6009A" w:rsidP="00EA4C1F">
      <w:pPr>
        <w:spacing w:line="480" w:lineRule="auto"/>
        <w:jc w:val="both"/>
        <w:rPr>
          <w:rFonts w:ascii="Times New Roman" w:eastAsia="Times New Roman" w:hAnsi="Times New Roman" w:cs="Times New Roman"/>
          <w:sz w:val="24"/>
          <w:szCs w:val="24"/>
        </w:rPr>
      </w:pPr>
    </w:p>
    <w:p w14:paraId="000000D1"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Como siguiente paso, se obtiene la Última pérdida estimada por Año de ocurrencia como el último valor disponible de los siniestros incurridos, multiplicado por el factor de desarrollo acumulado perteneciente al último periodo de desarrollo. La reserva IBNR es el valor resultante de la diferencia entre la Última pérdida estimada y el último valor disponible de los siniestros incurridos, por Año de ocurrencia. Analíticamente:</w:t>
      </w:r>
    </w:p>
    <w:p w14:paraId="000000D2" w14:textId="77777777" w:rsidR="00E6009A" w:rsidRPr="00EA4C1F" w:rsidRDefault="00000000" w:rsidP="00EA4C1F">
      <w:pPr>
        <w:jc w:val="both"/>
        <w:rPr>
          <w:rFonts w:ascii="Times New Roman" w:eastAsia="Times New Roman" w:hAnsi="Times New Roman" w:cs="Times New Roman"/>
          <w:sz w:val="24"/>
          <w:szCs w:val="24"/>
        </w:rPr>
      </w:pPr>
      <w:r w:rsidRPr="00EA4C1F">
        <w:rPr>
          <w:rFonts w:ascii="Times New Roman" w:eastAsia="Times New Roman" w:hAnsi="Times New Roman" w:cs="Times New Roman"/>
          <w:noProof/>
          <w:sz w:val="24"/>
          <w:szCs w:val="24"/>
        </w:rPr>
        <w:drawing>
          <wp:inline distT="114300" distB="114300" distL="114300" distR="114300" wp14:anchorId="3FCFA635" wp14:editId="1C2809F6">
            <wp:extent cx="5943600" cy="2209800"/>
            <wp:effectExtent l="0" t="0" r="0" b="0"/>
            <wp:docPr id="25"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19"/>
                    <a:srcRect/>
                    <a:stretch>
                      <a:fillRect/>
                    </a:stretch>
                  </pic:blipFill>
                  <pic:spPr>
                    <a:xfrm>
                      <a:off x="0" y="0"/>
                      <a:ext cx="5943600" cy="2209800"/>
                    </a:xfrm>
                    <a:prstGeom prst="rect">
                      <a:avLst/>
                    </a:prstGeom>
                    <a:ln/>
                  </pic:spPr>
                </pic:pic>
              </a:graphicData>
            </a:graphic>
          </wp:inline>
        </w:drawing>
      </w:r>
    </w:p>
    <w:p w14:paraId="000000D3" w14:textId="77777777" w:rsidR="00E6009A" w:rsidRPr="00EA4C1F" w:rsidRDefault="00E6009A" w:rsidP="00EA4C1F">
      <w:pPr>
        <w:jc w:val="both"/>
        <w:rPr>
          <w:rFonts w:ascii="Times New Roman" w:hAnsi="Times New Roman" w:cs="Times New Roman"/>
        </w:rPr>
      </w:pPr>
    </w:p>
    <w:bookmarkStart w:id="46" w:name="_heading=h.wj2qy1wy6j62" w:colFirst="0" w:colLast="0"/>
    <w:bookmarkEnd w:id="46"/>
    <w:p w14:paraId="000000D4" w14:textId="77777777" w:rsidR="00E6009A" w:rsidRPr="00EA4C1F" w:rsidRDefault="00000000" w:rsidP="00EA4C1F">
      <w:pPr>
        <w:pStyle w:val="Heading3"/>
        <w:numPr>
          <w:ilvl w:val="2"/>
          <w:numId w:val="3"/>
        </w:numPr>
        <w:ind w:hanging="360"/>
        <w:jc w:val="both"/>
        <w:rPr>
          <w:rFonts w:ascii="Times New Roman" w:eastAsia="Times New Roman" w:hAnsi="Times New Roman" w:cs="Times New Roman"/>
        </w:rPr>
      </w:pPr>
      <w:sdt>
        <w:sdtPr>
          <w:rPr>
            <w:rFonts w:ascii="Times New Roman" w:hAnsi="Times New Roman" w:cs="Times New Roman"/>
          </w:rPr>
          <w:tag w:val="goog_rdk_24"/>
          <w:id w:val="229415102"/>
        </w:sdtPr>
        <w:sdtContent>
          <w:commentRangeStart w:id="47"/>
        </w:sdtContent>
      </w:sdt>
      <w:r w:rsidRPr="00EA4C1F">
        <w:rPr>
          <w:rFonts w:ascii="Times New Roman" w:eastAsia="Times New Roman" w:hAnsi="Times New Roman" w:cs="Times New Roman"/>
        </w:rPr>
        <w:t>Ajustes finales</w:t>
      </w:r>
      <w:commentRangeEnd w:id="47"/>
      <w:r w:rsidRPr="00EA4C1F">
        <w:rPr>
          <w:rFonts w:ascii="Times New Roman" w:hAnsi="Times New Roman" w:cs="Times New Roman"/>
        </w:rPr>
        <w:commentReference w:id="47"/>
      </w:r>
    </w:p>
    <w:p w14:paraId="000000D5" w14:textId="77777777" w:rsidR="00E6009A" w:rsidRPr="00EA4C1F" w:rsidRDefault="00E6009A" w:rsidP="00EA4C1F">
      <w:pPr>
        <w:jc w:val="both"/>
        <w:rPr>
          <w:rFonts w:ascii="Times New Roman" w:hAnsi="Times New Roman" w:cs="Times New Roman"/>
        </w:rPr>
      </w:pPr>
    </w:p>
    <w:p w14:paraId="000000D6"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lastRenderedPageBreak/>
        <w:t>La metodología de estimación prevista por la normativa local se fundamenta en los supuestos del modelo Chain Ladder, mencionados previamente. Sin embargo, en la práctica profesional, estos supuestos rara vez se cumplen. Por este motivo, el RGAA establece que, para cada año de ocurrencia, la reserva por siniestros IBNR no puede adoptar valores negativos. Dichos valores usualmente surgen por contextos donde pueden existir cancelaciones de pagos o liberaciones de reservas, generando desarrollos negativos en ciertas celdas del triángulo. En consecuencia, el procedimiento exige ajustar los valores negativos de IBNR y sumar los valores resultantes para determinar la reserva IBNR que deberá reflejarse en los estados contables de la aseguradora.</w:t>
      </w:r>
    </w:p>
    <w:p w14:paraId="000000D7" w14:textId="77777777" w:rsidR="00E6009A" w:rsidRPr="00EA4C1F" w:rsidRDefault="00E6009A" w:rsidP="00EA4C1F">
      <w:pPr>
        <w:jc w:val="both"/>
        <w:rPr>
          <w:rFonts w:ascii="Times New Roman" w:hAnsi="Times New Roman" w:cs="Times New Roman"/>
        </w:rPr>
      </w:pPr>
    </w:p>
    <w:p w14:paraId="000000D8" w14:textId="77777777" w:rsidR="00E6009A" w:rsidRPr="00EA4C1F" w:rsidRDefault="00000000" w:rsidP="00EA4C1F">
      <w:pPr>
        <w:pStyle w:val="Heading2"/>
        <w:numPr>
          <w:ilvl w:val="1"/>
          <w:numId w:val="3"/>
        </w:numPr>
        <w:jc w:val="both"/>
        <w:rPr>
          <w:rFonts w:ascii="Times New Roman" w:eastAsia="Times New Roman" w:hAnsi="Times New Roman" w:cs="Times New Roman"/>
        </w:rPr>
      </w:pPr>
      <w:bookmarkStart w:id="48" w:name="_heading=h.kpct9m7gi09" w:colFirst="0" w:colLast="0"/>
      <w:bookmarkEnd w:id="48"/>
      <w:r w:rsidRPr="00EA4C1F">
        <w:rPr>
          <w:rFonts w:ascii="Times New Roman" w:eastAsia="Times New Roman" w:hAnsi="Times New Roman" w:cs="Times New Roman"/>
        </w:rPr>
        <w:t>Metodología compatible con IFRS 17</w:t>
      </w:r>
    </w:p>
    <w:p w14:paraId="000000D9" w14:textId="77777777" w:rsidR="00E6009A" w:rsidRPr="00EA4C1F" w:rsidRDefault="00E6009A" w:rsidP="00EA4C1F">
      <w:pPr>
        <w:jc w:val="both"/>
        <w:rPr>
          <w:rFonts w:ascii="Times New Roman" w:hAnsi="Times New Roman" w:cs="Times New Roman"/>
        </w:rPr>
      </w:pPr>
    </w:p>
    <w:p w14:paraId="000000DA"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La normativa IFRS 17 establece un marco conceptual basado en la medición económica de los contratos de seguros. Como se mencionó anteriormente, dicha norma define tres modelos de valuación. Para este trabajo, se utilizó el Building Block </w:t>
      </w:r>
      <w:proofErr w:type="spellStart"/>
      <w:r w:rsidRPr="00EA4C1F">
        <w:rPr>
          <w:rFonts w:ascii="Times New Roman" w:eastAsia="Times New Roman" w:hAnsi="Times New Roman" w:cs="Times New Roman"/>
          <w:sz w:val="24"/>
          <w:szCs w:val="24"/>
        </w:rPr>
        <w:t>Approach</w:t>
      </w:r>
      <w:proofErr w:type="spellEnd"/>
      <w:r w:rsidRPr="00EA4C1F">
        <w:rPr>
          <w:rFonts w:ascii="Times New Roman" w:eastAsia="Times New Roman" w:hAnsi="Times New Roman" w:cs="Times New Roman"/>
          <w:sz w:val="24"/>
          <w:szCs w:val="24"/>
        </w:rPr>
        <w:t xml:space="preserve"> dado que se lo considera como el método estándar </w:t>
      </w:r>
      <w:proofErr w:type="gramStart"/>
      <w:r w:rsidRPr="00EA4C1F">
        <w:rPr>
          <w:rFonts w:ascii="Times New Roman" w:eastAsia="Times New Roman" w:hAnsi="Times New Roman" w:cs="Times New Roman"/>
          <w:sz w:val="24"/>
          <w:szCs w:val="24"/>
        </w:rPr>
        <w:t>y  por</w:t>
      </w:r>
      <w:proofErr w:type="gramEnd"/>
      <w:r w:rsidRPr="00EA4C1F">
        <w:rPr>
          <w:rFonts w:ascii="Times New Roman" w:eastAsia="Times New Roman" w:hAnsi="Times New Roman" w:cs="Times New Roman"/>
          <w:sz w:val="24"/>
          <w:szCs w:val="24"/>
        </w:rPr>
        <w:t xml:space="preserve"> la metodología requerida, sirve como un buen punto de comparación con respecto a la metodología de la normativa local.</w:t>
      </w:r>
    </w:p>
    <w:p w14:paraId="000000DB" w14:textId="77777777" w:rsidR="00E6009A" w:rsidRPr="00EA4C1F" w:rsidRDefault="00000000" w:rsidP="00EA4C1F">
      <w:pPr>
        <w:pStyle w:val="Heading3"/>
        <w:numPr>
          <w:ilvl w:val="2"/>
          <w:numId w:val="3"/>
        </w:numPr>
        <w:ind w:hanging="360"/>
        <w:jc w:val="both"/>
        <w:rPr>
          <w:rFonts w:ascii="Times New Roman" w:hAnsi="Times New Roman" w:cs="Times New Roman"/>
        </w:rPr>
      </w:pPr>
      <w:bookmarkStart w:id="49" w:name="_heading=h.11d6nk201vm0" w:colFirst="0" w:colLast="0"/>
      <w:bookmarkEnd w:id="49"/>
      <w:r w:rsidRPr="00EA4C1F">
        <w:rPr>
          <w:rFonts w:ascii="Times New Roman" w:hAnsi="Times New Roman" w:cs="Times New Roman"/>
        </w:rPr>
        <w:t>Medición de siniestros</w:t>
      </w:r>
    </w:p>
    <w:p w14:paraId="000000DC"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Con objetivo de comparación, se utilizó el método de Chain Ladder teniendo en cuenta las libertades que ofrece la IFRS 17. De esta forma, los datos se organizan de la misma manera que por el RGAA, es decir:</w:t>
      </w:r>
    </w:p>
    <w:p w14:paraId="000000DD" w14:textId="77777777" w:rsidR="00E6009A" w:rsidRPr="00EA4C1F" w:rsidRDefault="00000000" w:rsidP="00EA4C1F">
      <w:pPr>
        <w:numPr>
          <w:ilvl w:val="0"/>
          <w:numId w:val="10"/>
        </w:num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Orden por año de ocurrencia y período de desarrollo, de modo que permiten reconstruir la evolución temporal de pagos e incurridos. </w:t>
      </w:r>
    </w:p>
    <w:p w14:paraId="000000DE" w14:textId="77777777" w:rsidR="00E6009A" w:rsidRPr="00EA4C1F" w:rsidRDefault="00000000" w:rsidP="00EA4C1F">
      <w:pPr>
        <w:numPr>
          <w:ilvl w:val="0"/>
          <w:numId w:val="10"/>
        </w:num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Se asume que no existen anomalías</w:t>
      </w:r>
    </w:p>
    <w:p w14:paraId="000000DF" w14:textId="77777777" w:rsidR="00E6009A" w:rsidRPr="00EA4C1F" w:rsidRDefault="00000000" w:rsidP="00EA4C1F">
      <w:pPr>
        <w:numPr>
          <w:ilvl w:val="0"/>
          <w:numId w:val="10"/>
        </w:num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lastRenderedPageBreak/>
        <w:t>Se actualizan a la fecha de valuación 30 de julio del 2024, siguiendo el índice FACPCE.</w:t>
      </w:r>
    </w:p>
    <w:p w14:paraId="000000E0"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Si bien las características de la base de datos utilizada imponen restricciones que obligan a mantener la estructura del triángulo para este análisis, la norma IFRS 17 ofrece mayor flexibilidad metodológica. En particular, permite agrupar períodos de desarrollo u ocurrencia en intervalos inferiores al año, así como, definir umbrales específicos para la exclusión de siniestros extraordinarios. Todos estos cambios deben estar justificados técnicamente y ser coherentes con el comportamiento real de la cartera.</w:t>
      </w:r>
    </w:p>
    <w:p w14:paraId="000000E1"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Una vez construido el triángulo de siniestros acumulados y estimados los factores de desarrollo individuales de la misma forma que en la metodología del RGAA, se procede a extrapolar dichos factores. Esto es necesario ya que, en el caso RC Autos, la naturaleza de cola larga implica que continuará existiendo desarrollo de siniestros más allá de los observados en la base. En lugar de aplicar un único factor de cola, se define una suavización con el fin de obtener una transición más coherente entre los factores. </w:t>
      </w:r>
    </w:p>
    <w:p w14:paraId="512E824C" w14:textId="77777777" w:rsidR="00176D78"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Para ello, se utilizó el método de suavización por potencia inversa, el cual, asume que los factores de desarrollo se modelan según la siguiente expresión:</w:t>
      </w:r>
    </w:p>
    <w:p w14:paraId="2B1516F9" w14:textId="347BDE2F" w:rsidR="00176D78" w:rsidRPr="00EA4C1F" w:rsidRDefault="00176D78" w:rsidP="00EA4C1F">
      <w:pPr>
        <w:spacing w:line="480" w:lineRule="auto"/>
        <w:jc w:val="both"/>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fd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t</m:t>
              </m:r>
            </m:sub>
          </m:sSub>
          <m:r>
            <w:rPr>
              <w:rFonts w:ascii="Cambria Math" w:eastAsia="Times New Roman" w:hAnsi="Cambria Math" w:cs="Times New Roman"/>
              <w:sz w:val="24"/>
              <w:szCs w:val="24"/>
            </w:rPr>
            <m:t>=1+a*</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t</m:t>
              </m:r>
            </m:e>
            <m:sup>
              <m:r>
                <w:rPr>
                  <w:rFonts w:ascii="Cambria Math" w:eastAsia="Times New Roman" w:hAnsi="Cambria Math" w:cs="Times New Roman"/>
                  <w:sz w:val="24"/>
                  <w:szCs w:val="24"/>
                </w:rPr>
                <m:t>-b</m:t>
              </m:r>
            </m:sup>
          </m:sSup>
        </m:oMath>
      </m:oMathPara>
    </w:p>
    <w:p w14:paraId="000000E4"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Donde:</w:t>
      </w:r>
    </w:p>
    <w:p w14:paraId="000000E5" w14:textId="6CDA6910" w:rsidR="00E6009A" w:rsidRPr="00176D78" w:rsidRDefault="00176D78" w:rsidP="00176D78">
      <w:pPr>
        <w:pStyle w:val="ListParagraph"/>
        <w:numPr>
          <w:ilvl w:val="0"/>
          <w:numId w:val="16"/>
        </w:numPr>
        <w:spacing w:line="480" w:lineRule="auto"/>
        <w:jc w:val="both"/>
        <w:rPr>
          <w:rFonts w:ascii="Times New Roman" w:eastAsia="Times New Roman" w:hAnsi="Times New Roman" w:cs="Times New Roman"/>
          <w:sz w:val="24"/>
          <w:szCs w:val="24"/>
        </w:rPr>
      </w:pPr>
      <m:oMath>
        <m:r>
          <w:rPr>
            <w:rFonts w:ascii="Cambria Math" w:eastAsia="Times New Roman" w:hAnsi="Cambria Math" w:cs="Times New Roman"/>
            <w:sz w:val="24"/>
            <w:szCs w:val="24"/>
          </w:rPr>
          <m:t>fd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t</m:t>
            </m:r>
          </m:sub>
        </m:sSub>
      </m:oMath>
      <w:r w:rsidR="00000000" w:rsidRPr="00176D78">
        <w:rPr>
          <w:rFonts w:ascii="Times New Roman" w:eastAsia="Times New Roman" w:hAnsi="Times New Roman" w:cs="Times New Roman"/>
          <w:sz w:val="24"/>
          <w:szCs w:val="24"/>
        </w:rPr>
        <w:t xml:space="preserve"> es el factor de desarrollo en</w:t>
      </w:r>
      <w:r w:rsidR="00FC42E8">
        <w:rPr>
          <w:rFonts w:ascii="Times New Roman" w:eastAsia="Times New Roman" w:hAnsi="Times New Roman" w:cs="Times New Roman"/>
          <w:sz w:val="24"/>
          <w:szCs w:val="24"/>
        </w:rPr>
        <w:t xml:space="preserve"> el periodo “t”</w:t>
      </w:r>
    </w:p>
    <w:p w14:paraId="288FB2A2" w14:textId="378EA0A0" w:rsidR="00FC42E8" w:rsidRPr="00FC42E8" w:rsidRDefault="00FC42E8" w:rsidP="00FC42E8">
      <w:pPr>
        <w:pStyle w:val="ListParagraph"/>
        <w:numPr>
          <w:ilvl w:val="0"/>
          <w:numId w:val="16"/>
        </w:numPr>
        <w:spacing w:line="480" w:lineRule="auto"/>
        <w:jc w:val="both"/>
        <w:rPr>
          <w:rFonts w:ascii="Times New Roman" w:eastAsia="Times New Roman" w:hAnsi="Times New Roman" w:cs="Times New Roman"/>
          <w:sz w:val="24"/>
          <w:szCs w:val="24"/>
        </w:rPr>
      </w:pPr>
      <m:oMath>
        <m:r>
          <w:rPr>
            <w:rFonts w:ascii="Cambria Math" w:eastAsia="Times New Roman" w:hAnsi="Cambria Math" w:cs="Times New Roman"/>
            <w:sz w:val="24"/>
            <w:szCs w:val="24"/>
          </w:rPr>
          <m:t>a</m:t>
        </m:r>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b</m:t>
        </m:r>
      </m:oMath>
      <w:r>
        <w:rPr>
          <w:rFonts w:ascii="Times New Roman" w:eastAsia="Times New Roman" w:hAnsi="Times New Roman" w:cs="Times New Roman"/>
          <w:sz w:val="24"/>
          <w:szCs w:val="24"/>
        </w:rPr>
        <w:t xml:space="preserve"> son </w:t>
      </w:r>
      <w:proofErr w:type="gramStart"/>
      <w:r>
        <w:rPr>
          <w:rFonts w:ascii="Times New Roman" w:eastAsia="Times New Roman" w:hAnsi="Times New Roman" w:cs="Times New Roman"/>
          <w:sz w:val="24"/>
          <w:szCs w:val="24"/>
        </w:rPr>
        <w:t>parámetros a estimar</w:t>
      </w:r>
      <w:proofErr w:type="gramEnd"/>
    </w:p>
    <w:p w14:paraId="000000E7" w14:textId="3AC6737B"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Esta </w:t>
      </w:r>
      <w:r w:rsidR="00FC42E8" w:rsidRPr="00EA4C1F">
        <w:rPr>
          <w:rFonts w:ascii="Times New Roman" w:eastAsia="Times New Roman" w:hAnsi="Times New Roman" w:cs="Times New Roman"/>
          <w:sz w:val="24"/>
          <w:szCs w:val="24"/>
        </w:rPr>
        <w:t>fórmula</w:t>
      </w:r>
      <w:r w:rsidRPr="00EA4C1F">
        <w:rPr>
          <w:rFonts w:ascii="Times New Roman" w:eastAsia="Times New Roman" w:hAnsi="Times New Roman" w:cs="Times New Roman"/>
          <w:sz w:val="24"/>
          <w:szCs w:val="24"/>
        </w:rPr>
        <w:t xml:space="preserve"> permite modelar un patrón decreciente y asintótico hacia 1, consistente con el comportamiento esperado en ramos de cola larga. Luego, se linealiza la expresión aplicando </w:t>
      </w:r>
      <w:r w:rsidRPr="00EA4C1F">
        <w:rPr>
          <w:rFonts w:ascii="Times New Roman" w:eastAsia="Times New Roman" w:hAnsi="Times New Roman" w:cs="Times New Roman"/>
          <w:sz w:val="24"/>
          <w:szCs w:val="24"/>
        </w:rPr>
        <w:lastRenderedPageBreak/>
        <w:t xml:space="preserve">logaritmos naturales y reordenando términos, resultando así, una relación aproximadamente lineal. Esto permite ajustar una regresión lineal por el método de mínimos cuadrados para estimar los parámetros “a” y “b”. </w:t>
      </w:r>
    </w:p>
    <w:p w14:paraId="000000E8" w14:textId="77777777"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Una vez obtenidos los parámetros, se extrapolan los </w:t>
      </w:r>
      <w:proofErr w:type="spellStart"/>
      <w:r w:rsidRPr="00EA4C1F">
        <w:rPr>
          <w:rFonts w:ascii="Times New Roman" w:eastAsia="Times New Roman" w:hAnsi="Times New Roman" w:cs="Times New Roman"/>
          <w:sz w:val="24"/>
          <w:szCs w:val="24"/>
        </w:rPr>
        <w:t>FDIs</w:t>
      </w:r>
      <w:proofErr w:type="spellEnd"/>
      <w:r w:rsidRPr="00EA4C1F">
        <w:rPr>
          <w:rFonts w:ascii="Times New Roman" w:eastAsia="Times New Roman" w:hAnsi="Times New Roman" w:cs="Times New Roman"/>
          <w:sz w:val="24"/>
          <w:szCs w:val="24"/>
        </w:rPr>
        <w:t>, incrementando el valor de “t” hasta alcanzar un criterio de convergencia. Dicho criterio se define en este trabajo como el punto en el cual el incremento marginal del factor se vuelve menor a 0,0001 o alcanza los 15 años adicionales de desarrollo. Al alcanzar este umbral, el siguiente periodo de la función decreciente se considera no significativo.</w:t>
      </w:r>
    </w:p>
    <w:p w14:paraId="000000E9" w14:textId="77777777"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Por último, se continúa con el procedimiento análogo al establecido en el RGAA. A partir de los </w:t>
      </w:r>
      <w:proofErr w:type="spellStart"/>
      <w:r w:rsidRPr="00EA4C1F">
        <w:rPr>
          <w:rFonts w:ascii="Times New Roman" w:eastAsia="Times New Roman" w:hAnsi="Times New Roman" w:cs="Times New Roman"/>
          <w:sz w:val="24"/>
          <w:szCs w:val="24"/>
        </w:rPr>
        <w:t>FDIs</w:t>
      </w:r>
      <w:proofErr w:type="spellEnd"/>
      <w:r w:rsidRPr="00EA4C1F">
        <w:rPr>
          <w:rFonts w:ascii="Times New Roman" w:eastAsia="Times New Roman" w:hAnsi="Times New Roman" w:cs="Times New Roman"/>
          <w:sz w:val="24"/>
          <w:szCs w:val="24"/>
        </w:rPr>
        <w:t xml:space="preserve"> se calculan los </w:t>
      </w:r>
      <w:proofErr w:type="spellStart"/>
      <w:r w:rsidRPr="00EA4C1F">
        <w:rPr>
          <w:rFonts w:ascii="Times New Roman" w:eastAsia="Times New Roman" w:hAnsi="Times New Roman" w:cs="Times New Roman"/>
          <w:sz w:val="24"/>
          <w:szCs w:val="24"/>
        </w:rPr>
        <w:t>FDAs</w:t>
      </w:r>
      <w:proofErr w:type="spellEnd"/>
      <w:r w:rsidRPr="00EA4C1F">
        <w:rPr>
          <w:rFonts w:ascii="Times New Roman" w:eastAsia="Times New Roman" w:hAnsi="Times New Roman" w:cs="Times New Roman"/>
          <w:sz w:val="24"/>
          <w:szCs w:val="24"/>
        </w:rPr>
        <w:t xml:space="preserve">, los cuales, se aplican sobre el monto de siniestros observado en el último período disponible de cada año de ocurrencia. A diferencia del esquema regulatorio local, en este enfoque, se estima un patrón de pagos por periodo, por lo que la forma de aplicar </w:t>
      </w:r>
      <w:proofErr w:type="gramStart"/>
      <w:r w:rsidRPr="00EA4C1F">
        <w:rPr>
          <w:rFonts w:ascii="Times New Roman" w:eastAsia="Times New Roman" w:hAnsi="Times New Roman" w:cs="Times New Roman"/>
          <w:sz w:val="24"/>
          <w:szCs w:val="24"/>
        </w:rPr>
        <w:t>las los</w:t>
      </w:r>
      <w:proofErr w:type="gramEnd"/>
      <w:r w:rsidRPr="00EA4C1F">
        <w:rPr>
          <w:rFonts w:ascii="Times New Roman" w:eastAsia="Times New Roman" w:hAnsi="Times New Roman" w:cs="Times New Roman"/>
          <w:sz w:val="24"/>
          <w:szCs w:val="24"/>
        </w:rPr>
        <w:t xml:space="preserve"> FDA es “completar el cuadrado” del triángulo acumulado. Esto se hace multiplicando la última diagonal por todos los </w:t>
      </w:r>
      <w:proofErr w:type="spellStart"/>
      <w:r w:rsidRPr="00EA4C1F">
        <w:rPr>
          <w:rFonts w:ascii="Times New Roman" w:eastAsia="Times New Roman" w:hAnsi="Times New Roman" w:cs="Times New Roman"/>
          <w:sz w:val="24"/>
          <w:szCs w:val="24"/>
        </w:rPr>
        <w:t>FDAs</w:t>
      </w:r>
      <w:proofErr w:type="spellEnd"/>
      <w:r w:rsidRPr="00EA4C1F">
        <w:rPr>
          <w:rFonts w:ascii="Times New Roman" w:eastAsia="Times New Roman" w:hAnsi="Times New Roman" w:cs="Times New Roman"/>
          <w:sz w:val="24"/>
          <w:szCs w:val="24"/>
        </w:rPr>
        <w:t xml:space="preserve"> de periodos superiores, quedando así la última columna como lo que sería el Siniestro Ultimate en normativa local. </w:t>
      </w:r>
    </w:p>
    <w:bookmarkStart w:id="50" w:name="_heading=h.tp0dqiauj8tc" w:colFirst="0" w:colLast="0"/>
    <w:bookmarkEnd w:id="50"/>
    <w:p w14:paraId="000000EA" w14:textId="77777777" w:rsidR="00E6009A" w:rsidRPr="00EA4C1F" w:rsidRDefault="00000000" w:rsidP="00EA4C1F">
      <w:pPr>
        <w:pStyle w:val="Heading3"/>
        <w:numPr>
          <w:ilvl w:val="2"/>
          <w:numId w:val="3"/>
        </w:numPr>
        <w:ind w:hanging="360"/>
        <w:jc w:val="both"/>
        <w:rPr>
          <w:rFonts w:ascii="Times New Roman" w:hAnsi="Times New Roman" w:cs="Times New Roman"/>
        </w:rPr>
      </w:pPr>
      <w:sdt>
        <w:sdtPr>
          <w:rPr>
            <w:rFonts w:ascii="Times New Roman" w:hAnsi="Times New Roman" w:cs="Times New Roman"/>
          </w:rPr>
          <w:tag w:val="goog_rdk_26"/>
          <w:id w:val="333471063"/>
        </w:sdtPr>
        <w:sdtContent>
          <w:commentRangeStart w:id="51"/>
        </w:sdtContent>
      </w:sdt>
      <w:sdt>
        <w:sdtPr>
          <w:rPr>
            <w:rFonts w:ascii="Times New Roman" w:hAnsi="Times New Roman" w:cs="Times New Roman"/>
          </w:rPr>
          <w:tag w:val="goog_rdk_27"/>
          <w:id w:val="-1391810660"/>
        </w:sdtPr>
        <w:sdtContent>
          <w:commentRangeStart w:id="52"/>
        </w:sdtContent>
      </w:sdt>
      <w:r w:rsidRPr="00EA4C1F">
        <w:rPr>
          <w:rFonts w:ascii="Times New Roman" w:hAnsi="Times New Roman" w:cs="Times New Roman"/>
        </w:rPr>
        <w:t>Tasa de descuento</w:t>
      </w:r>
      <w:commentRangeEnd w:id="51"/>
      <w:r w:rsidRPr="00EA4C1F">
        <w:rPr>
          <w:rFonts w:ascii="Times New Roman" w:hAnsi="Times New Roman" w:cs="Times New Roman"/>
        </w:rPr>
        <w:commentReference w:id="51"/>
      </w:r>
      <w:commentRangeEnd w:id="52"/>
      <w:r w:rsidRPr="00EA4C1F">
        <w:rPr>
          <w:rFonts w:ascii="Times New Roman" w:hAnsi="Times New Roman" w:cs="Times New Roman"/>
        </w:rPr>
        <w:commentReference w:id="52"/>
      </w:r>
    </w:p>
    <w:p w14:paraId="000000EB" w14:textId="77777777" w:rsidR="00E6009A" w:rsidRPr="00EA4C1F" w:rsidRDefault="00E6009A" w:rsidP="00EA4C1F">
      <w:pPr>
        <w:jc w:val="both"/>
        <w:rPr>
          <w:rFonts w:ascii="Times New Roman" w:hAnsi="Times New Roman" w:cs="Times New Roman"/>
        </w:rPr>
      </w:pPr>
    </w:p>
    <w:p w14:paraId="000000EC" w14:textId="77777777"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Como siguiente etapa en la medición del pasivo, se estima el flujo de pagos futuro asociado a la cartera. Para ello, se parte de la matriz obtenida en el bloque anterior, que contiene la evolución de los pagos y reservas acumuladas estimadas. Sobre dicha base, se calculan las diferencias entre períodos de desarrollo consecutivos, obteniendo así una matriz de pagos y reservas incrementales. </w:t>
      </w:r>
      <w:proofErr w:type="spellStart"/>
      <w:proofErr w:type="gramStart"/>
      <w:r w:rsidRPr="00EA4C1F">
        <w:rPr>
          <w:rFonts w:ascii="Times New Roman" w:eastAsia="Times New Roman" w:hAnsi="Times New Roman" w:cs="Times New Roman"/>
          <w:sz w:val="24"/>
          <w:szCs w:val="24"/>
        </w:rPr>
        <w:t>Luego,se</w:t>
      </w:r>
      <w:proofErr w:type="spellEnd"/>
      <w:proofErr w:type="gramEnd"/>
      <w:r w:rsidRPr="00EA4C1F">
        <w:rPr>
          <w:rFonts w:ascii="Times New Roman" w:eastAsia="Times New Roman" w:hAnsi="Times New Roman" w:cs="Times New Roman"/>
          <w:sz w:val="24"/>
          <w:szCs w:val="24"/>
        </w:rPr>
        <w:t xml:space="preserve"> reestructura dicha matriz, utilizando el Año de Denuncia como identificador de columnas </w:t>
      </w:r>
      <w:r w:rsidRPr="00EA4C1F">
        <w:rPr>
          <w:rFonts w:ascii="Times New Roman" w:eastAsia="Times New Roman" w:hAnsi="Times New Roman" w:cs="Times New Roman"/>
          <w:sz w:val="24"/>
          <w:szCs w:val="24"/>
        </w:rPr>
        <w:lastRenderedPageBreak/>
        <w:t>y el Año de Ocurrencia como identificador de filas. Esto lo que da lugar a una estructura tipo paralelogramo. Se seleccionan las celdas correspondientes a períodos posteriores a la fecha de valuación (30 de junio de 2024) y se suman por columna, obteniendo así, el patrón de pagos estimados de la cartera.</w:t>
      </w:r>
    </w:p>
    <w:p w14:paraId="000000ED" w14:textId="77777777"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Una vez obtenido el flujo estimado de la cartera de seguros, se puede aplicar una tasa de descuento con el objetivo de considerar el valor tiempo dinero </w:t>
      </w:r>
      <w:proofErr w:type="gramStart"/>
      <w:r w:rsidRPr="00EA4C1F">
        <w:rPr>
          <w:rFonts w:ascii="Times New Roman" w:eastAsia="Times New Roman" w:hAnsi="Times New Roman" w:cs="Times New Roman"/>
          <w:sz w:val="24"/>
          <w:szCs w:val="24"/>
        </w:rPr>
        <w:t>del mismo</w:t>
      </w:r>
      <w:proofErr w:type="gramEnd"/>
      <w:r w:rsidRPr="00EA4C1F">
        <w:rPr>
          <w:rFonts w:ascii="Times New Roman" w:eastAsia="Times New Roman" w:hAnsi="Times New Roman" w:cs="Times New Roman"/>
          <w:sz w:val="24"/>
          <w:szCs w:val="24"/>
        </w:rPr>
        <w:t>. Esta tasa procederá a partir de una estructura de tasas libres de riesgo, las cuales pueden surgir de un enfoque Bottom Up o Top Down. En el enfoque Bottom Up, se parte de una tasa libre de riesgos y se le agrega una prima por iliquidez, sin embargo, al estar el bien subyacente en pesos argentinos, se considera que encontrar dicha tasa, requiere de un</w:t>
      </w:r>
      <w:sdt>
        <w:sdtPr>
          <w:rPr>
            <w:rFonts w:ascii="Times New Roman" w:hAnsi="Times New Roman" w:cs="Times New Roman"/>
          </w:rPr>
          <w:tag w:val="goog_rdk_28"/>
          <w:id w:val="-1732280784"/>
        </w:sdtPr>
        <w:sdtContent>
          <w:commentRangeStart w:id="53"/>
        </w:sdtContent>
      </w:sdt>
      <w:r w:rsidRPr="00EA4C1F">
        <w:rPr>
          <w:rFonts w:ascii="Times New Roman" w:eastAsia="Times New Roman" w:hAnsi="Times New Roman" w:cs="Times New Roman"/>
          <w:sz w:val="24"/>
          <w:szCs w:val="24"/>
        </w:rPr>
        <w:t xml:space="preserve"> esfuerzo desproporcionado</w:t>
      </w:r>
      <w:commentRangeEnd w:id="53"/>
      <w:r w:rsidRPr="00EA4C1F">
        <w:rPr>
          <w:rFonts w:ascii="Times New Roman" w:hAnsi="Times New Roman" w:cs="Times New Roman"/>
        </w:rPr>
        <w:commentReference w:id="53"/>
      </w:r>
      <w:r w:rsidRPr="00EA4C1F">
        <w:rPr>
          <w:rFonts w:ascii="Times New Roman" w:eastAsia="Times New Roman" w:hAnsi="Times New Roman" w:cs="Times New Roman"/>
          <w:sz w:val="24"/>
          <w:szCs w:val="24"/>
        </w:rPr>
        <w:t xml:space="preserve">. Para derivarla, se debe implementar un enfoque Top Down, en el cual se parte de una curva de tasas de interés provenientes de un portafolio de referencia y se les extrae los riesgos que no son inherentes a un contrato de seguros. Usualmente, se asume que el único riesgo significativo que no contiene un contrato de seguro es el riesgo de crédito, por lo que el método se enfocará en descontar dicho </w:t>
      </w:r>
      <w:proofErr w:type="gramStart"/>
      <w:r w:rsidRPr="00EA4C1F">
        <w:rPr>
          <w:rFonts w:ascii="Times New Roman" w:eastAsia="Times New Roman" w:hAnsi="Times New Roman" w:cs="Times New Roman"/>
          <w:sz w:val="24"/>
          <w:szCs w:val="24"/>
        </w:rPr>
        <w:t>efecto .</w:t>
      </w:r>
      <w:proofErr w:type="gramEnd"/>
    </w:p>
    <w:p w14:paraId="000000EE" w14:textId="77777777" w:rsidR="00E6009A" w:rsidRPr="00EA4C1F" w:rsidRDefault="00000000" w:rsidP="00EA4C1F">
      <w:pPr>
        <w:pStyle w:val="Heading4"/>
        <w:numPr>
          <w:ilvl w:val="3"/>
          <w:numId w:val="3"/>
        </w:numPr>
        <w:spacing w:before="240" w:after="240" w:line="480" w:lineRule="auto"/>
        <w:ind w:left="1275"/>
        <w:jc w:val="both"/>
        <w:rPr>
          <w:rFonts w:ascii="Times New Roman" w:hAnsi="Times New Roman" w:cs="Times New Roman"/>
        </w:rPr>
      </w:pPr>
      <w:bookmarkStart w:id="54" w:name="_heading=h.q9snpdkmid63" w:colFirst="0" w:colLast="0"/>
      <w:bookmarkEnd w:id="54"/>
      <w:r w:rsidRPr="00EA4C1F">
        <w:rPr>
          <w:rFonts w:ascii="Times New Roman" w:hAnsi="Times New Roman" w:cs="Times New Roman"/>
        </w:rPr>
        <w:t xml:space="preserve">Cartera replicante </w:t>
      </w:r>
    </w:p>
    <w:p w14:paraId="000000EF"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Como primer paso para la aplicación del enfoque Top Down, se debe construir una cartera de referencia que comparta ciertas características con los flujos del seguro como moneda y liquidez. En este caso, se </w:t>
      </w:r>
      <w:proofErr w:type="gramStart"/>
      <w:r w:rsidRPr="00EA4C1F">
        <w:rPr>
          <w:rFonts w:ascii="Times New Roman" w:eastAsia="Times New Roman" w:hAnsi="Times New Roman" w:cs="Times New Roman"/>
          <w:sz w:val="24"/>
          <w:szCs w:val="24"/>
        </w:rPr>
        <w:t>eligió como</w:t>
      </w:r>
      <w:proofErr w:type="gramEnd"/>
      <w:r w:rsidRPr="00EA4C1F">
        <w:rPr>
          <w:rFonts w:ascii="Times New Roman" w:eastAsia="Times New Roman" w:hAnsi="Times New Roman" w:cs="Times New Roman"/>
          <w:sz w:val="24"/>
          <w:szCs w:val="24"/>
        </w:rPr>
        <w:t xml:space="preserve"> cartera de referencia un conjunto de bonos soberanos ajustados por índice CER con distintas duraciones. El índice CER es un coeficiente de estabilización que refleja la variación del IPC y, por lo tanto, indexa los flujos de estos instrumentos por inflación. En forma análoga, los pagos de siniestros también se ven afectados por este </w:t>
      </w:r>
      <w:proofErr w:type="gramStart"/>
      <w:r w:rsidRPr="00EA4C1F">
        <w:rPr>
          <w:rFonts w:ascii="Times New Roman" w:eastAsia="Times New Roman" w:hAnsi="Times New Roman" w:cs="Times New Roman"/>
          <w:sz w:val="24"/>
          <w:szCs w:val="24"/>
        </w:rPr>
        <w:t>mismo causal</w:t>
      </w:r>
      <w:proofErr w:type="gramEnd"/>
      <w:r w:rsidRPr="00EA4C1F">
        <w:rPr>
          <w:rFonts w:ascii="Times New Roman" w:eastAsia="Times New Roman" w:hAnsi="Times New Roman" w:cs="Times New Roman"/>
          <w:sz w:val="24"/>
          <w:szCs w:val="24"/>
        </w:rPr>
        <w:t xml:space="preserve">, de modo que, la </w:t>
      </w:r>
      <w:r w:rsidRPr="00EA4C1F">
        <w:rPr>
          <w:rFonts w:ascii="Times New Roman" w:eastAsia="Times New Roman" w:hAnsi="Times New Roman" w:cs="Times New Roman"/>
          <w:sz w:val="24"/>
          <w:szCs w:val="24"/>
        </w:rPr>
        <w:lastRenderedPageBreak/>
        <w:t>unidad de medida de flujos y tasa responderá principalmente a la sensibilidad por duración. Sobre dicha cartera, se extrae una estructura de Tasas Internas de Retorno (</w:t>
      </w:r>
      <w:proofErr w:type="spellStart"/>
      <w:r w:rsidRPr="00EA4C1F">
        <w:rPr>
          <w:rFonts w:ascii="Times New Roman" w:eastAsia="Times New Roman" w:hAnsi="Times New Roman" w:cs="Times New Roman"/>
          <w:sz w:val="24"/>
          <w:szCs w:val="24"/>
        </w:rPr>
        <w:t>TiR</w:t>
      </w:r>
      <w:proofErr w:type="spellEnd"/>
      <w:r w:rsidRPr="00EA4C1F">
        <w:rPr>
          <w:rFonts w:ascii="Times New Roman" w:eastAsia="Times New Roman" w:hAnsi="Times New Roman" w:cs="Times New Roman"/>
          <w:sz w:val="24"/>
          <w:szCs w:val="24"/>
        </w:rPr>
        <w:t>) por duración, de forma:</w:t>
      </w:r>
    </w:p>
    <w:p w14:paraId="000000F0" w14:textId="5D18D211" w:rsidR="00E6009A" w:rsidRPr="00FC42E8" w:rsidRDefault="00FC42E8" w:rsidP="00EA4C1F">
      <w:pPr>
        <w:spacing w:line="480" w:lineRule="auto"/>
        <w:jc w:val="both"/>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 xml:space="preserve">VM= </m:t>
          </m:r>
          <m:nary>
            <m:naryPr>
              <m:chr m:val="∑"/>
              <m:limLoc m:val="undOv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t=1</m:t>
              </m:r>
            </m:sub>
            <m:sup>
              <m:r>
                <w:rPr>
                  <w:rFonts w:ascii="Cambria Math" w:eastAsia="Times New Roman" w:hAnsi="Cambria Math" w:cs="Times New Roman"/>
                  <w:sz w:val="24"/>
                  <w:szCs w:val="24"/>
                </w:rPr>
                <m:t>n</m:t>
              </m:r>
            </m:sup>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c</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t</m:t>
                      </m:r>
                    </m:sub>
                  </m:sSub>
                </m:num>
                <m:den>
                  <m:sSup>
                    <m:sSupPr>
                      <m:ctrlPr>
                        <w:rPr>
                          <w:rFonts w:ascii="Cambria Math" w:eastAsia="Times New Roman" w:hAnsi="Cambria Math" w:cs="Times New Roman"/>
                          <w:i/>
                          <w:sz w:val="24"/>
                          <w:szCs w:val="24"/>
                        </w:rPr>
                      </m:ctrlPr>
                    </m:sSupPr>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1+TIR</m:t>
                          </m:r>
                        </m:e>
                      </m:d>
                    </m:e>
                    <m:sup>
                      <m:r>
                        <w:rPr>
                          <w:rFonts w:ascii="Cambria Math" w:eastAsia="Times New Roman" w:hAnsi="Cambria Math" w:cs="Times New Roman"/>
                          <w:sz w:val="24"/>
                          <w:szCs w:val="24"/>
                        </w:rPr>
                        <m:t>t</m:t>
                      </m:r>
                    </m:sup>
                  </m:sSup>
                </m:den>
              </m:f>
            </m:e>
          </m:nary>
        </m:oMath>
      </m:oMathPara>
    </w:p>
    <w:p w14:paraId="362E9806" w14:textId="78E5A32E" w:rsidR="00FC42E8" w:rsidRDefault="00FC42E8" w:rsidP="00EA4C1F">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Donde:</w:t>
      </w:r>
    </w:p>
    <w:p w14:paraId="788F4A32" w14:textId="0555A7E0" w:rsidR="00FC42E8" w:rsidRDefault="00FC42E8" w:rsidP="00FC42E8">
      <w:pPr>
        <w:pStyle w:val="ListParagraph"/>
        <w:numPr>
          <w:ilvl w:val="0"/>
          <w:numId w:val="16"/>
        </w:numPr>
        <w:spacing w:line="480" w:lineRule="auto"/>
        <w:jc w:val="both"/>
        <w:rPr>
          <w:rFonts w:ascii="Times New Roman" w:eastAsia="Times New Roman" w:hAnsi="Times New Roman" w:cs="Times New Roman"/>
          <w:sz w:val="24"/>
          <w:szCs w:val="24"/>
        </w:rPr>
      </w:pPr>
      <m:oMath>
        <m:r>
          <w:rPr>
            <w:rFonts w:ascii="Cambria Math" w:eastAsia="Times New Roman" w:hAnsi="Cambria Math" w:cs="Times New Roman"/>
            <w:sz w:val="24"/>
            <w:szCs w:val="24"/>
          </w:rPr>
          <m:t>VM</m:t>
        </m:r>
      </m:oMath>
      <w:r>
        <w:rPr>
          <w:rFonts w:ascii="Times New Roman" w:eastAsia="Times New Roman" w:hAnsi="Times New Roman" w:cs="Times New Roman"/>
          <w:sz w:val="24"/>
          <w:szCs w:val="24"/>
        </w:rPr>
        <w:t xml:space="preserve"> es el Valor de Mercado del bono</w:t>
      </w:r>
    </w:p>
    <w:p w14:paraId="6145B158" w14:textId="37933B33" w:rsidR="00FC42E8" w:rsidRDefault="00FC42E8" w:rsidP="00FC42E8">
      <w:pPr>
        <w:pStyle w:val="ListParagraph"/>
        <w:numPr>
          <w:ilvl w:val="0"/>
          <w:numId w:val="16"/>
        </w:numPr>
        <w:spacing w:line="480" w:lineRule="auto"/>
        <w:jc w:val="both"/>
        <w:rPr>
          <w:rFonts w:ascii="Times New Roman" w:eastAsia="Times New Roman" w:hAnsi="Times New Roman" w:cs="Times New Roman"/>
          <w:sz w:val="24"/>
          <w:szCs w:val="24"/>
        </w:rPr>
      </w:pPr>
      <m:oMath>
        <m:r>
          <w:rPr>
            <w:rFonts w:ascii="Cambria Math" w:eastAsia="Times New Roman" w:hAnsi="Cambria Math" w:cs="Times New Roman"/>
            <w:sz w:val="24"/>
            <w:szCs w:val="24"/>
          </w:rPr>
          <m:t>c</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t</m:t>
            </m:r>
          </m:sub>
        </m:sSub>
      </m:oMath>
      <w:r>
        <w:rPr>
          <w:rFonts w:ascii="Times New Roman" w:eastAsia="Times New Roman" w:hAnsi="Times New Roman" w:cs="Times New Roman"/>
          <w:sz w:val="24"/>
          <w:szCs w:val="24"/>
        </w:rPr>
        <w:t xml:space="preserve"> es el flujo de caja (</w:t>
      </w:r>
      <w:proofErr w:type="spellStart"/>
      <w:r>
        <w:rPr>
          <w:rFonts w:ascii="Times New Roman" w:eastAsia="Times New Roman" w:hAnsi="Times New Roman" w:cs="Times New Roman"/>
          <w:sz w:val="24"/>
          <w:szCs w:val="24"/>
        </w:rPr>
        <w:t>cashflow</w:t>
      </w:r>
      <w:proofErr w:type="spellEnd"/>
      <w:r>
        <w:rPr>
          <w:rFonts w:ascii="Times New Roman" w:eastAsia="Times New Roman" w:hAnsi="Times New Roman" w:cs="Times New Roman"/>
          <w:sz w:val="24"/>
          <w:szCs w:val="24"/>
        </w:rPr>
        <w:t>) que otorga el bono en el momento “t”</w:t>
      </w:r>
    </w:p>
    <w:p w14:paraId="560A2516" w14:textId="665BDFAF" w:rsidR="00FC42E8" w:rsidRPr="00FC42E8" w:rsidRDefault="00FC42E8" w:rsidP="00FC42E8">
      <w:pPr>
        <w:pStyle w:val="ListParagraph"/>
        <w:numPr>
          <w:ilvl w:val="0"/>
          <w:numId w:val="16"/>
        </w:numPr>
        <w:spacing w:line="480" w:lineRule="auto"/>
        <w:jc w:val="both"/>
        <w:rPr>
          <w:rFonts w:ascii="Times New Roman" w:eastAsia="Times New Roman" w:hAnsi="Times New Roman" w:cs="Times New Roman"/>
          <w:sz w:val="24"/>
          <w:szCs w:val="24"/>
        </w:rPr>
      </w:pPr>
      <m:oMath>
        <m:r>
          <w:rPr>
            <w:rFonts w:ascii="Cambria Math" w:eastAsia="Times New Roman" w:hAnsi="Cambria Math" w:cs="Times New Roman"/>
            <w:sz w:val="24"/>
            <w:szCs w:val="24"/>
          </w:rPr>
          <m:t>TIR</m:t>
        </m:r>
      </m:oMath>
      <w:r>
        <w:rPr>
          <w:rFonts w:ascii="Times New Roman" w:eastAsia="Times New Roman" w:hAnsi="Times New Roman" w:cs="Times New Roman"/>
          <w:sz w:val="24"/>
          <w:szCs w:val="24"/>
        </w:rPr>
        <w:t xml:space="preserve"> es la Tasa Interna de Retorno del bono</w:t>
      </w:r>
    </w:p>
    <w:p w14:paraId="000000F3" w14:textId="709F72ED" w:rsidR="00E6009A" w:rsidRPr="00963DD8" w:rsidRDefault="00000000" w:rsidP="00963DD8">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 Esta será nuestra curva de referencia, la cual se compone teóricamente de una tasa libre de riesgo y una prima (porcentual) por riesgo de crédito</w:t>
      </w:r>
      <w:r w:rsidR="00963DD8">
        <w:rPr>
          <w:rFonts w:ascii="Times New Roman" w:eastAsia="Times New Roman" w:hAnsi="Times New Roman" w:cs="Times New Roman"/>
          <w:sz w:val="24"/>
          <w:szCs w:val="24"/>
        </w:rPr>
        <w:t>.</w:t>
      </w:r>
    </w:p>
    <w:p w14:paraId="000000F4" w14:textId="77777777" w:rsidR="00E6009A" w:rsidRPr="00EA4C1F" w:rsidRDefault="00000000" w:rsidP="00EA4C1F">
      <w:pPr>
        <w:pStyle w:val="Heading4"/>
        <w:numPr>
          <w:ilvl w:val="3"/>
          <w:numId w:val="3"/>
        </w:numPr>
        <w:spacing w:line="480" w:lineRule="auto"/>
        <w:ind w:left="1275"/>
        <w:jc w:val="both"/>
        <w:rPr>
          <w:rFonts w:ascii="Times New Roman" w:eastAsia="Times New Roman" w:hAnsi="Times New Roman" w:cs="Times New Roman"/>
          <w:i w:val="0"/>
          <w:iCs w:val="0"/>
          <w:sz w:val="24"/>
          <w:szCs w:val="24"/>
        </w:rPr>
      </w:pPr>
      <w:bookmarkStart w:id="55" w:name="_heading=h.fprqcwix5k0k" w:colFirst="0" w:colLast="0"/>
      <w:bookmarkEnd w:id="55"/>
      <w:r w:rsidRPr="00EA4C1F">
        <w:rPr>
          <w:rFonts w:ascii="Times New Roman" w:eastAsia="Times New Roman" w:hAnsi="Times New Roman" w:cs="Times New Roman"/>
          <w:i w:val="0"/>
          <w:iCs w:val="0"/>
          <w:sz w:val="24"/>
          <w:szCs w:val="24"/>
        </w:rPr>
        <w:t>Prima de Riesgo de Crédito</w:t>
      </w:r>
    </w:p>
    <w:p w14:paraId="000000F5"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Para la estimación de una prima riesgo de crédito, primero se deberán obtener probabilidades de default de la entidad emisora de la cartera. En este caso, se utilizarán las Probabilidades de Default acumuladas promedio históricas estimadas por Fitch Ratings para soberanos con rating CCC, ya que el emisor de dichos bonos es el tesoro de Argentina. Éstas están compuestas sobre información empírica de default históricos de bonos soberanos</w:t>
      </w:r>
    </w:p>
    <w:p w14:paraId="6FCE3A14" w14:textId="77777777" w:rsidR="00963DD8" w:rsidRDefault="00000000" w:rsidP="00963DD8">
      <w:pPr>
        <w:keepNext/>
        <w:spacing w:before="100" w:beforeAutospacing="1" w:after="0" w:line="480" w:lineRule="auto"/>
        <w:jc w:val="both"/>
      </w:pPr>
      <w:r w:rsidRPr="00EA4C1F">
        <w:rPr>
          <w:rFonts w:ascii="Times New Roman" w:eastAsia="Times New Roman" w:hAnsi="Times New Roman" w:cs="Times New Roman"/>
          <w:noProof/>
          <w:sz w:val="24"/>
          <w:szCs w:val="24"/>
        </w:rPr>
        <w:drawing>
          <wp:inline distT="114300" distB="114300" distL="114300" distR="114300" wp14:anchorId="4712D984" wp14:editId="392F6ACE">
            <wp:extent cx="5943600" cy="1358900"/>
            <wp:effectExtent l="0" t="0" r="0" b="0"/>
            <wp:docPr id="9"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0"/>
                    <a:srcRect/>
                    <a:stretch>
                      <a:fillRect/>
                    </a:stretch>
                  </pic:blipFill>
                  <pic:spPr>
                    <a:xfrm>
                      <a:off x="0" y="0"/>
                      <a:ext cx="5943600" cy="1358900"/>
                    </a:xfrm>
                    <a:prstGeom prst="rect">
                      <a:avLst/>
                    </a:prstGeom>
                    <a:ln/>
                  </pic:spPr>
                </pic:pic>
              </a:graphicData>
            </a:graphic>
          </wp:inline>
        </w:drawing>
      </w:r>
    </w:p>
    <w:p w14:paraId="5596FE6F" w14:textId="787C3563" w:rsidR="00963DD8" w:rsidRDefault="00963DD8" w:rsidP="00963DD8">
      <w:pPr>
        <w:pStyle w:val="Caption"/>
        <w:jc w:val="both"/>
      </w:pPr>
      <w:r>
        <w:t xml:space="preserve">Ilustración </w:t>
      </w:r>
      <w:r>
        <w:fldChar w:fldCharType="begin"/>
      </w:r>
      <w:r>
        <w:instrText xml:space="preserve"> SEQ Ilustración \* ARABIC </w:instrText>
      </w:r>
      <w:r>
        <w:fldChar w:fldCharType="separate"/>
      </w:r>
      <w:r>
        <w:rPr>
          <w:noProof/>
        </w:rPr>
        <w:t>1</w:t>
      </w:r>
      <w:r>
        <w:fldChar w:fldCharType="end"/>
      </w:r>
      <w:r>
        <w:t>: Probabilidades de default acumuladas para bonos soberanos</w:t>
      </w:r>
      <w:r>
        <w:rPr>
          <w:noProof/>
        </w:rPr>
        <w:t xml:space="preserve"> de Fitch Ratings</w:t>
      </w:r>
    </w:p>
    <w:p w14:paraId="000000F6" w14:textId="52E329FA"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lastRenderedPageBreak/>
        <w:t xml:space="preserve"> </w:t>
      </w:r>
    </w:p>
    <w:p w14:paraId="000000F7" w14:textId="77777777"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Dada la complejidad del cálculo y las limitaciones de los datos, se tomarán los siguientes supuestos:</w:t>
      </w:r>
    </w:p>
    <w:p w14:paraId="000000F8" w14:textId="77777777" w:rsidR="00E6009A" w:rsidRPr="00EA4C1F" w:rsidRDefault="00000000" w:rsidP="00EA4C1F">
      <w:pPr>
        <w:numPr>
          <w:ilvl w:val="0"/>
          <w:numId w:val="4"/>
        </w:numPr>
        <w:spacing w:before="240"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La diferencia entre el ajuste por índice CER y la variación de la inflación a la fecha no es significativa.</w:t>
      </w:r>
    </w:p>
    <w:p w14:paraId="000000F9" w14:textId="77777777" w:rsidR="00E6009A" w:rsidRPr="00EA4C1F" w:rsidRDefault="00000000" w:rsidP="00EA4C1F">
      <w:pPr>
        <w:numPr>
          <w:ilvl w:val="0"/>
          <w:numId w:val="4"/>
        </w:num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La curva de PD se comporta de manera monótonamente creciente en toda su curva y la una tasa instantánea de decremento es constante dentro del año. Esto implica que para los años 9 y 10, la PD acumulada para el Rating CCC será de 46.88%.</w:t>
      </w:r>
    </w:p>
    <w:p w14:paraId="000000FA" w14:textId="77777777" w:rsidR="00E6009A" w:rsidRPr="00EA4C1F" w:rsidRDefault="00000000" w:rsidP="00EA4C1F">
      <w:pPr>
        <w:numPr>
          <w:ilvl w:val="0"/>
          <w:numId w:val="4"/>
        </w:numPr>
        <w:spacing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La pérdida dado un evento de default es 60%, constante durante la vida de la cartera.</w:t>
      </w:r>
    </w:p>
    <w:p w14:paraId="0FA744CF" w14:textId="2D0D0C2A" w:rsidR="00963DD8"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Como paso próximo, se calcula una prima de riesgo de crédito para cada bono que compone la curva. Esto se hace sustrayendo la </w:t>
      </w:r>
      <w:proofErr w:type="spellStart"/>
      <w:r w:rsidRPr="00EA4C1F">
        <w:rPr>
          <w:rFonts w:ascii="Times New Roman" w:eastAsia="Times New Roman" w:hAnsi="Times New Roman" w:cs="Times New Roman"/>
          <w:sz w:val="24"/>
          <w:szCs w:val="24"/>
        </w:rPr>
        <w:t>TiR</w:t>
      </w:r>
      <w:proofErr w:type="spellEnd"/>
      <w:r w:rsidRPr="00EA4C1F">
        <w:rPr>
          <w:rFonts w:ascii="Times New Roman" w:eastAsia="Times New Roman" w:hAnsi="Times New Roman" w:cs="Times New Roman"/>
          <w:sz w:val="24"/>
          <w:szCs w:val="24"/>
        </w:rPr>
        <w:t xml:space="preserve"> del bono con la </w:t>
      </w:r>
      <w:proofErr w:type="spellStart"/>
      <w:r w:rsidRPr="00EA4C1F">
        <w:rPr>
          <w:rFonts w:ascii="Times New Roman" w:eastAsia="Times New Roman" w:hAnsi="Times New Roman" w:cs="Times New Roman"/>
          <w:sz w:val="24"/>
          <w:szCs w:val="24"/>
        </w:rPr>
        <w:t>TiR</w:t>
      </w:r>
      <w:proofErr w:type="spellEnd"/>
      <w:r w:rsidRPr="00EA4C1F">
        <w:rPr>
          <w:rFonts w:ascii="Times New Roman" w:eastAsia="Times New Roman" w:hAnsi="Times New Roman" w:cs="Times New Roman"/>
          <w:sz w:val="24"/>
          <w:szCs w:val="24"/>
        </w:rPr>
        <w:t xml:space="preserve"> libre de arbitraje por riesgo de crédito. Esta surge de replicar el instrumento teniendo en cuenta el valor esperado de los flujos del bono. Usualmente, el mercado ajusta sus variables a través del valor de mercado del instrumento. Al existir un riesgo de crédito, el precio se reduce dado que el monto a cobrar en caso de default es menor al del mismo instrumento con pagos garantizados. Esto genera que la TIR del bono sea mayor a la de uno </w:t>
      </w:r>
      <w:proofErr w:type="gramStart"/>
      <w:r w:rsidRPr="00EA4C1F">
        <w:rPr>
          <w:rFonts w:ascii="Times New Roman" w:eastAsia="Times New Roman" w:hAnsi="Times New Roman" w:cs="Times New Roman"/>
          <w:sz w:val="24"/>
          <w:szCs w:val="24"/>
        </w:rPr>
        <w:t>idéntico</w:t>
      </w:r>
      <w:proofErr w:type="gramEnd"/>
      <w:r w:rsidRPr="00EA4C1F">
        <w:rPr>
          <w:rFonts w:ascii="Times New Roman" w:eastAsia="Times New Roman" w:hAnsi="Times New Roman" w:cs="Times New Roman"/>
          <w:sz w:val="24"/>
          <w:szCs w:val="24"/>
        </w:rPr>
        <w:t xml:space="preserve"> pero sin riesgo de crédito. La forma de calcular cada pago es la siguiente:</w:t>
      </w:r>
    </w:p>
    <w:p w14:paraId="000000FC" w14:textId="67BCAD6C" w:rsidR="00E6009A" w:rsidRPr="00963DD8" w:rsidRDefault="00963DD8" w:rsidP="00EA4C1F">
      <w:pPr>
        <w:spacing w:before="240" w:after="240" w:line="480" w:lineRule="auto"/>
        <w:jc w:val="both"/>
        <w:rPr>
          <w:rFonts w:ascii="Times New Roman" w:eastAsia="Times New Roman" w:hAnsi="Times New Roman" w:cs="Times New Roman"/>
          <w:sz w:val="24"/>
          <w:szCs w:val="24"/>
          <w:lang w:val="en-US"/>
        </w:rPr>
      </w:pPr>
      <m:oMath>
        <m:r>
          <w:rPr>
            <w:rFonts w:ascii="Cambria Math" w:eastAsia="Times New Roman" w:hAnsi="Cambria Math" w:cs="Times New Roman"/>
          </w:rPr>
          <m:t>E</m:t>
        </m:r>
        <m:r>
          <w:rPr>
            <w:rFonts w:ascii="Cambria Math" w:eastAsia="Times New Roman" w:hAnsi="Cambria Math" w:cs="Times New Roman"/>
            <w:lang w:val="en-US"/>
          </w:rPr>
          <m:t>(</m:t>
        </m:r>
        <m:r>
          <w:rPr>
            <w:rFonts w:ascii="Cambria Math" w:eastAsia="Times New Roman" w:hAnsi="Cambria Math" w:cs="Times New Roman"/>
            <w:lang w:val="en-US"/>
          </w:rPr>
          <m:t>C</m:t>
        </m:r>
        <m:sSub>
          <m:sSubPr>
            <m:ctrlPr>
              <w:rPr>
                <w:rFonts w:ascii="Cambria Math" w:eastAsia="Times New Roman" w:hAnsi="Cambria Math" w:cs="Times New Roman"/>
                <w:i/>
                <w:lang w:val="en-US"/>
              </w:rPr>
            </m:ctrlPr>
          </m:sSubPr>
          <m:e>
            <m:r>
              <w:rPr>
                <w:rFonts w:ascii="Cambria Math" w:eastAsia="Times New Roman" w:hAnsi="Cambria Math" w:cs="Times New Roman"/>
                <w:lang w:val="en-US"/>
              </w:rPr>
              <m:t>F</m:t>
            </m:r>
          </m:e>
          <m:sub>
            <m:r>
              <w:rPr>
                <w:rFonts w:ascii="Cambria Math" w:eastAsia="Times New Roman" w:hAnsi="Cambria Math" w:cs="Times New Roman"/>
              </w:rPr>
              <m:t>t</m:t>
            </m:r>
          </m:sub>
        </m:sSub>
        <m:r>
          <w:rPr>
            <w:rFonts w:ascii="Cambria Math" w:eastAsia="Times New Roman" w:hAnsi="Cambria Math" w:cs="Times New Roman"/>
            <w:lang w:val="en-US"/>
          </w:rPr>
          <m:t>) = (</m:t>
        </m:r>
        <m:r>
          <w:rPr>
            <w:rFonts w:ascii="Cambria Math" w:eastAsia="Times New Roman" w:hAnsi="Cambria Math" w:cs="Times New Roman"/>
          </w:rPr>
          <m:t>Pag</m:t>
        </m:r>
        <m:sSub>
          <m:sSubPr>
            <m:ctrlPr>
              <w:rPr>
                <w:rFonts w:ascii="Cambria Math" w:eastAsia="Times New Roman" w:hAnsi="Cambria Math" w:cs="Times New Roman"/>
                <w:i/>
                <w:lang w:val="en-US"/>
              </w:rPr>
            </m:ctrlPr>
          </m:sSubPr>
          <m:e>
            <m:r>
              <w:rPr>
                <w:rFonts w:ascii="Cambria Math" w:eastAsia="Times New Roman" w:hAnsi="Cambria Math" w:cs="Times New Roman"/>
              </w:rPr>
              <m:t>o</m:t>
            </m:r>
            <m:ctrlPr>
              <w:rPr>
                <w:rFonts w:ascii="Cambria Math" w:eastAsia="Times New Roman" w:hAnsi="Cambria Math" w:cs="Times New Roman"/>
                <w:i/>
              </w:rPr>
            </m:ctrlPr>
          </m:e>
          <m:sub>
            <m:r>
              <w:rPr>
                <w:rFonts w:ascii="Cambria Math" w:eastAsia="Times New Roman" w:hAnsi="Cambria Math" w:cs="Times New Roman"/>
              </w:rPr>
              <m:t>t</m:t>
            </m:r>
          </m:sub>
        </m:sSub>
        <m:r>
          <w:rPr>
            <w:rFonts w:ascii="Cambria Math" w:eastAsia="Times New Roman" w:hAnsi="Cambria Math" w:cs="Times New Roman"/>
            <w:lang w:val="en-US"/>
          </w:rPr>
          <m:t xml:space="preserve"> + </m:t>
        </m:r>
        <m:r>
          <w:rPr>
            <w:rFonts w:ascii="Cambria Math" w:eastAsia="Times New Roman" w:hAnsi="Cambria Math" w:cs="Times New Roman"/>
          </w:rPr>
          <m:t>Valor</m:t>
        </m:r>
        <m:r>
          <w:rPr>
            <w:rFonts w:ascii="Cambria Math" w:eastAsia="Times New Roman" w:hAnsi="Cambria Math" w:cs="Times New Roman"/>
            <w:lang w:val="en-US"/>
          </w:rPr>
          <m:t xml:space="preserve"> </m:t>
        </m:r>
        <m:r>
          <w:rPr>
            <w:rFonts w:ascii="Cambria Math" w:eastAsia="Times New Roman" w:hAnsi="Cambria Math" w:cs="Times New Roman"/>
          </w:rPr>
          <m:t>Residua</m:t>
        </m:r>
        <m:sSub>
          <m:sSubPr>
            <m:ctrlPr>
              <w:rPr>
                <w:rFonts w:ascii="Cambria Math" w:eastAsia="Times New Roman" w:hAnsi="Cambria Math" w:cs="Times New Roman"/>
                <w:i/>
                <w:lang w:val="en-US"/>
              </w:rPr>
            </m:ctrlPr>
          </m:sSubPr>
          <m:e>
            <m:r>
              <w:rPr>
                <w:rFonts w:ascii="Cambria Math" w:eastAsia="Times New Roman" w:hAnsi="Cambria Math" w:cs="Times New Roman"/>
              </w:rPr>
              <m:t>l</m:t>
            </m:r>
            <m:ctrlPr>
              <w:rPr>
                <w:rFonts w:ascii="Cambria Math" w:eastAsia="Times New Roman" w:hAnsi="Cambria Math" w:cs="Times New Roman"/>
                <w:i/>
              </w:rPr>
            </m:ctrlPr>
          </m:e>
          <m:sub>
            <m:r>
              <w:rPr>
                <w:rFonts w:ascii="Cambria Math" w:eastAsia="Times New Roman" w:hAnsi="Cambria Math" w:cs="Times New Roman"/>
              </w:rPr>
              <m:t>t</m:t>
            </m:r>
          </m:sub>
        </m:sSub>
        <m:r>
          <w:rPr>
            <w:rFonts w:ascii="Cambria Math" w:eastAsia="Times New Roman" w:hAnsi="Cambria Math" w:cs="Times New Roman"/>
            <w:lang w:val="en-US"/>
          </w:rPr>
          <m:t xml:space="preserve">) *(1- </m:t>
        </m:r>
        <m:r>
          <w:rPr>
            <w:rFonts w:ascii="Cambria Math" w:eastAsia="Times New Roman" w:hAnsi="Cambria Math" w:cs="Times New Roman"/>
          </w:rPr>
          <m:t>LGD</m:t>
        </m:r>
        <m:r>
          <w:rPr>
            <w:rFonts w:ascii="Cambria Math" w:eastAsia="Times New Roman" w:hAnsi="Cambria Math" w:cs="Times New Roman"/>
            <w:lang w:val="en-US"/>
          </w:rPr>
          <m:t xml:space="preserve">) * </m:t>
        </m:r>
        <m:r>
          <w:rPr>
            <w:rFonts w:ascii="Cambria Math" w:eastAsia="Times New Roman" w:hAnsi="Cambria Math" w:cs="Times New Roman"/>
          </w:rPr>
          <m:t>PD</m:t>
        </m:r>
        <m:sSub>
          <m:sSubPr>
            <m:ctrlPr>
              <w:rPr>
                <w:rFonts w:ascii="Cambria Math" w:eastAsia="Times New Roman" w:hAnsi="Cambria Math" w:cs="Times New Roman"/>
                <w:i/>
                <w:lang w:val="en-US"/>
              </w:rPr>
            </m:ctrlPr>
          </m:sSubPr>
          <m:e>
            <m:d>
              <m:dPr>
                <m:ctrlPr>
                  <w:rPr>
                    <w:rFonts w:ascii="Cambria Math" w:eastAsia="Times New Roman" w:hAnsi="Cambria Math" w:cs="Times New Roman"/>
                    <w:i/>
                    <w:lang w:val="en-US"/>
                  </w:rPr>
                </m:ctrlPr>
              </m:dPr>
              <m:e>
                <m:r>
                  <w:rPr>
                    <w:rFonts w:ascii="Cambria Math" w:eastAsia="Times New Roman" w:hAnsi="Cambria Math" w:cs="Times New Roman"/>
                  </w:rPr>
                  <m:t>t</m:t>
                </m:r>
              </m:e>
            </m:d>
            <m:ctrlPr>
              <w:rPr>
                <w:rFonts w:ascii="Cambria Math" w:eastAsia="Times New Roman" w:hAnsi="Cambria Math" w:cs="Times New Roman"/>
                <w:i/>
              </w:rPr>
            </m:ctrlPr>
          </m:e>
          <m:sub>
            <m:r>
              <w:rPr>
                <w:rFonts w:ascii="Cambria Math" w:eastAsia="Times New Roman" w:hAnsi="Cambria Math" w:cs="Times New Roman"/>
              </w:rPr>
              <m:t>marg</m:t>
            </m:r>
          </m:sub>
        </m:sSub>
        <m:r>
          <w:rPr>
            <w:rFonts w:ascii="Cambria Math" w:eastAsia="Times New Roman" w:hAnsi="Cambria Math" w:cs="Times New Roman"/>
            <w:lang w:val="en-US"/>
          </w:rPr>
          <m:t xml:space="preserve"> + </m:t>
        </m:r>
        <m:r>
          <w:rPr>
            <w:rFonts w:ascii="Cambria Math" w:eastAsia="Times New Roman" w:hAnsi="Cambria Math" w:cs="Times New Roman"/>
          </w:rPr>
          <m:t>Pag</m:t>
        </m:r>
        <m:sSub>
          <m:sSubPr>
            <m:ctrlPr>
              <w:rPr>
                <w:rFonts w:ascii="Cambria Math" w:eastAsia="Times New Roman" w:hAnsi="Cambria Math" w:cs="Times New Roman"/>
                <w:i/>
                <w:lang w:val="en-US"/>
              </w:rPr>
            </m:ctrlPr>
          </m:sSubPr>
          <m:e>
            <m:r>
              <w:rPr>
                <w:rFonts w:ascii="Cambria Math" w:eastAsia="Times New Roman" w:hAnsi="Cambria Math" w:cs="Times New Roman"/>
              </w:rPr>
              <m:t>o</m:t>
            </m:r>
            <m:ctrlPr>
              <w:rPr>
                <w:rFonts w:ascii="Cambria Math" w:eastAsia="Times New Roman" w:hAnsi="Cambria Math" w:cs="Times New Roman"/>
                <w:i/>
              </w:rPr>
            </m:ctrlPr>
          </m:e>
          <m:sub>
            <m:r>
              <w:rPr>
                <w:rFonts w:ascii="Cambria Math" w:eastAsia="Times New Roman" w:hAnsi="Cambria Math" w:cs="Times New Roman"/>
              </w:rPr>
              <m:t>t</m:t>
            </m:r>
          </m:sub>
        </m:sSub>
        <m:r>
          <w:rPr>
            <w:rFonts w:ascii="Cambria Math" w:eastAsia="Times New Roman" w:hAnsi="Cambria Math" w:cs="Times New Roman"/>
            <w:lang w:val="en-US"/>
          </w:rPr>
          <m:t xml:space="preserve"> * (1</m:t>
        </m:r>
        <m:r>
          <w:rPr>
            <w:rFonts w:ascii="Cambria Math" w:eastAsia="Times New Roman" w:hAnsi="Cambria Math" w:cs="Times New Roman"/>
            <w:lang w:val="en-US"/>
          </w:rPr>
          <m:t>-</m:t>
        </m:r>
        <m:r>
          <w:rPr>
            <w:rFonts w:ascii="Cambria Math" w:eastAsia="Times New Roman" w:hAnsi="Cambria Math" w:cs="Times New Roman"/>
          </w:rPr>
          <m:t>PD</m:t>
        </m:r>
        <m:sSub>
          <m:sSubPr>
            <m:ctrlPr>
              <w:rPr>
                <w:rFonts w:ascii="Cambria Math" w:eastAsia="Times New Roman" w:hAnsi="Cambria Math" w:cs="Times New Roman"/>
                <w:i/>
                <w:lang w:val="en-US"/>
              </w:rPr>
            </m:ctrlPr>
          </m:sSubPr>
          <m:e>
            <m:d>
              <m:dPr>
                <m:ctrlPr>
                  <w:rPr>
                    <w:rFonts w:ascii="Cambria Math" w:eastAsia="Times New Roman" w:hAnsi="Cambria Math" w:cs="Times New Roman"/>
                    <w:i/>
                    <w:lang w:val="en-US"/>
                  </w:rPr>
                </m:ctrlPr>
              </m:dPr>
              <m:e>
                <m:r>
                  <w:rPr>
                    <w:rFonts w:ascii="Cambria Math" w:eastAsia="Times New Roman" w:hAnsi="Cambria Math" w:cs="Times New Roman"/>
                  </w:rPr>
                  <m:t>t</m:t>
                </m:r>
              </m:e>
            </m:d>
            <m:ctrlPr>
              <w:rPr>
                <w:rFonts w:ascii="Cambria Math" w:eastAsia="Times New Roman" w:hAnsi="Cambria Math" w:cs="Times New Roman"/>
                <w:i/>
              </w:rPr>
            </m:ctrlPr>
          </m:e>
          <m:sub>
            <m:r>
              <w:rPr>
                <w:rFonts w:ascii="Cambria Math" w:eastAsia="Times New Roman" w:hAnsi="Cambria Math" w:cs="Times New Roman"/>
              </w:rPr>
              <m:t>Acum</m:t>
            </m:r>
          </m:sub>
        </m:sSub>
        <m:r>
          <w:rPr>
            <w:rFonts w:ascii="Cambria Math" w:eastAsia="Times New Roman" w:hAnsi="Cambria Math" w:cs="Times New Roman"/>
            <w:lang w:val="en-US"/>
          </w:rPr>
          <m:t>)</m:t>
        </m:r>
      </m:oMath>
      <w:r w:rsidR="00000000" w:rsidRPr="00820C22">
        <w:rPr>
          <w:rFonts w:ascii="Times New Roman" w:eastAsia="Times New Roman" w:hAnsi="Times New Roman" w:cs="Times New Roman"/>
          <w:lang w:val="en-US"/>
        </w:rPr>
        <w:t xml:space="preserve"> </w:t>
      </w:r>
    </w:p>
    <w:p w14:paraId="000000FD" w14:textId="77777777"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Donde:</w:t>
      </w:r>
    </w:p>
    <w:p w14:paraId="2C25CF04" w14:textId="5ECD868E" w:rsidR="00820C22" w:rsidRDefault="00820C22" w:rsidP="00820C22">
      <w:pPr>
        <w:numPr>
          <w:ilvl w:val="0"/>
          <w:numId w:val="9"/>
        </w:numPr>
        <w:spacing w:before="100" w:beforeAutospacing="1" w:after="100" w:afterAutospacing="1" w:line="480" w:lineRule="auto"/>
        <w:jc w:val="both"/>
        <w:rPr>
          <w:rFonts w:ascii="Times New Roman" w:eastAsia="Times New Roman" w:hAnsi="Times New Roman" w:cs="Times New Roman"/>
          <w:sz w:val="24"/>
          <w:szCs w:val="24"/>
        </w:rPr>
      </w:pPr>
      <m:oMath>
        <m:r>
          <w:rPr>
            <w:rFonts w:ascii="Cambria Math" w:eastAsia="Times New Roman" w:hAnsi="Cambria Math" w:cs="Times New Roman"/>
          </w:rPr>
          <m:t>E</m:t>
        </m:r>
        <m:r>
          <w:rPr>
            <w:rFonts w:ascii="Cambria Math" w:eastAsia="Times New Roman" w:hAnsi="Cambria Math" w:cs="Times New Roman"/>
            <w:lang w:val="es-ES"/>
          </w:rPr>
          <m:t>(</m:t>
        </m:r>
        <m:r>
          <w:rPr>
            <w:rFonts w:ascii="Cambria Math" w:eastAsia="Times New Roman" w:hAnsi="Cambria Math" w:cs="Times New Roman"/>
            <w:lang w:val="en-US"/>
          </w:rPr>
          <m:t>C</m:t>
        </m:r>
        <m:sSub>
          <m:sSubPr>
            <m:ctrlPr>
              <w:rPr>
                <w:rFonts w:ascii="Cambria Math" w:eastAsia="Times New Roman" w:hAnsi="Cambria Math" w:cs="Times New Roman"/>
                <w:i/>
                <w:lang w:val="en-US"/>
              </w:rPr>
            </m:ctrlPr>
          </m:sSubPr>
          <m:e>
            <m:r>
              <w:rPr>
                <w:rFonts w:ascii="Cambria Math" w:eastAsia="Times New Roman" w:hAnsi="Cambria Math" w:cs="Times New Roman"/>
                <w:lang w:val="en-US"/>
              </w:rPr>
              <m:t>F</m:t>
            </m:r>
          </m:e>
          <m:sub>
            <m:r>
              <w:rPr>
                <w:rFonts w:ascii="Cambria Math" w:eastAsia="Times New Roman" w:hAnsi="Cambria Math" w:cs="Times New Roman"/>
              </w:rPr>
              <m:t>t</m:t>
            </m:r>
          </m:sub>
        </m:sSub>
        <m:r>
          <w:rPr>
            <w:rFonts w:ascii="Cambria Math" w:eastAsia="Times New Roman" w:hAnsi="Cambria Math" w:cs="Times New Roman"/>
            <w:lang w:val="es-ES"/>
          </w:rPr>
          <m:t xml:space="preserve">) </m:t>
        </m:r>
      </m:oMath>
      <w:r w:rsidRPr="00820C22">
        <w:rPr>
          <w:rFonts w:ascii="Times New Roman" w:eastAsia="Times New Roman" w:hAnsi="Times New Roman" w:cs="Times New Roman"/>
          <w:lang w:val="es-ES"/>
        </w:rPr>
        <w:t>es el</w:t>
      </w:r>
      <w:r>
        <w:rPr>
          <w:rFonts w:ascii="Times New Roman" w:eastAsia="Times New Roman" w:hAnsi="Times New Roman" w:cs="Times New Roman"/>
          <w:lang w:val="es-ES"/>
        </w:rPr>
        <w:t xml:space="preserve"> valor del </w:t>
      </w:r>
      <w:proofErr w:type="spellStart"/>
      <w:r>
        <w:rPr>
          <w:rFonts w:ascii="Times New Roman" w:eastAsia="Times New Roman" w:hAnsi="Times New Roman" w:cs="Times New Roman"/>
          <w:lang w:val="es-ES"/>
        </w:rPr>
        <w:t>cashflow</w:t>
      </w:r>
      <w:proofErr w:type="spellEnd"/>
      <w:r>
        <w:rPr>
          <w:rFonts w:ascii="Times New Roman" w:eastAsia="Times New Roman" w:hAnsi="Times New Roman" w:cs="Times New Roman"/>
          <w:lang w:val="es-ES"/>
        </w:rPr>
        <w:t xml:space="preserve"> que se paga en el momento “t” teniendo en cuenta las expectativas de default.</w:t>
      </w:r>
    </w:p>
    <w:p w14:paraId="682188C8" w14:textId="2EE5CAD9" w:rsidR="00820C22" w:rsidRPr="00820C22" w:rsidRDefault="00820C22" w:rsidP="00820C22">
      <w:pPr>
        <w:numPr>
          <w:ilvl w:val="0"/>
          <w:numId w:val="9"/>
        </w:numPr>
        <w:spacing w:before="100" w:beforeAutospacing="1" w:after="100" w:afterAutospacing="1" w:line="480" w:lineRule="auto"/>
        <w:jc w:val="both"/>
        <w:rPr>
          <w:rFonts w:ascii="Times New Roman" w:eastAsia="Times New Roman" w:hAnsi="Times New Roman" w:cs="Times New Roman"/>
          <w:sz w:val="24"/>
          <w:szCs w:val="24"/>
        </w:rPr>
      </w:pPr>
      <m:oMath>
        <m:r>
          <w:rPr>
            <w:rFonts w:ascii="Cambria Math" w:eastAsia="Times New Roman" w:hAnsi="Cambria Math" w:cs="Times New Roman"/>
            <w:lang w:val="es-ES"/>
          </w:rPr>
          <w:lastRenderedPageBreak/>
          <m:t>(</m:t>
        </m:r>
        <m:r>
          <w:rPr>
            <w:rFonts w:ascii="Cambria Math" w:eastAsia="Times New Roman" w:hAnsi="Cambria Math" w:cs="Times New Roman"/>
          </w:rPr>
          <m:t>Pag</m:t>
        </m:r>
        <m:sSub>
          <m:sSubPr>
            <m:ctrlPr>
              <w:rPr>
                <w:rFonts w:ascii="Cambria Math" w:eastAsia="Times New Roman" w:hAnsi="Cambria Math" w:cs="Times New Roman"/>
                <w:i/>
                <w:lang w:val="en-US"/>
              </w:rPr>
            </m:ctrlPr>
          </m:sSubPr>
          <m:e>
            <m:r>
              <w:rPr>
                <w:rFonts w:ascii="Cambria Math" w:eastAsia="Times New Roman" w:hAnsi="Cambria Math" w:cs="Times New Roman"/>
              </w:rPr>
              <m:t>o</m:t>
            </m:r>
            <m:ctrlPr>
              <w:rPr>
                <w:rFonts w:ascii="Cambria Math" w:eastAsia="Times New Roman" w:hAnsi="Cambria Math" w:cs="Times New Roman"/>
                <w:i/>
              </w:rPr>
            </m:ctrlPr>
          </m:e>
          <m:sub>
            <m:r>
              <w:rPr>
                <w:rFonts w:ascii="Cambria Math" w:eastAsia="Times New Roman" w:hAnsi="Cambria Math" w:cs="Times New Roman"/>
              </w:rPr>
              <m:t>t</m:t>
            </m:r>
          </m:sub>
        </m:sSub>
        <m:r>
          <w:rPr>
            <w:rFonts w:ascii="Cambria Math" w:eastAsia="Times New Roman" w:hAnsi="Cambria Math" w:cs="Times New Roman"/>
            <w:lang w:val="es-ES"/>
          </w:rPr>
          <m:t xml:space="preserve"> + </m:t>
        </m:r>
        <m:r>
          <w:rPr>
            <w:rFonts w:ascii="Cambria Math" w:eastAsia="Times New Roman" w:hAnsi="Cambria Math" w:cs="Times New Roman"/>
          </w:rPr>
          <m:t>Valor</m:t>
        </m:r>
        <m:r>
          <w:rPr>
            <w:rFonts w:ascii="Cambria Math" w:eastAsia="Times New Roman" w:hAnsi="Cambria Math" w:cs="Times New Roman"/>
            <w:lang w:val="es-ES"/>
          </w:rPr>
          <m:t xml:space="preserve"> </m:t>
        </m:r>
        <m:r>
          <w:rPr>
            <w:rFonts w:ascii="Cambria Math" w:eastAsia="Times New Roman" w:hAnsi="Cambria Math" w:cs="Times New Roman"/>
          </w:rPr>
          <m:t>Residua</m:t>
        </m:r>
        <m:sSub>
          <m:sSubPr>
            <m:ctrlPr>
              <w:rPr>
                <w:rFonts w:ascii="Cambria Math" w:eastAsia="Times New Roman" w:hAnsi="Cambria Math" w:cs="Times New Roman"/>
                <w:i/>
                <w:lang w:val="en-US"/>
              </w:rPr>
            </m:ctrlPr>
          </m:sSubPr>
          <m:e>
            <m:r>
              <w:rPr>
                <w:rFonts w:ascii="Cambria Math" w:eastAsia="Times New Roman" w:hAnsi="Cambria Math" w:cs="Times New Roman"/>
              </w:rPr>
              <m:t>l</m:t>
            </m:r>
            <m:ctrlPr>
              <w:rPr>
                <w:rFonts w:ascii="Cambria Math" w:eastAsia="Times New Roman" w:hAnsi="Cambria Math" w:cs="Times New Roman"/>
                <w:i/>
              </w:rPr>
            </m:ctrlPr>
          </m:e>
          <m:sub>
            <m:r>
              <w:rPr>
                <w:rFonts w:ascii="Cambria Math" w:eastAsia="Times New Roman" w:hAnsi="Cambria Math" w:cs="Times New Roman"/>
              </w:rPr>
              <m:t>t</m:t>
            </m:r>
          </m:sub>
        </m:sSub>
        <m:r>
          <w:rPr>
            <w:rFonts w:ascii="Cambria Math" w:eastAsia="Times New Roman" w:hAnsi="Cambria Math" w:cs="Times New Roman"/>
            <w:lang w:val="es-ES"/>
          </w:rPr>
          <m:t>)</m:t>
        </m:r>
      </m:oMath>
      <w:r w:rsidRPr="00EA4C1F">
        <w:rPr>
          <w:rFonts w:ascii="Times New Roman" w:eastAsia="Times New Roman" w:hAnsi="Times New Roman" w:cs="Times New Roman"/>
          <w:sz w:val="24"/>
          <w:szCs w:val="24"/>
        </w:rPr>
        <w:t xml:space="preserve"> es la suma del interés y el valor residual del bono en el momento </w:t>
      </w:r>
      <w:r>
        <w:rPr>
          <w:rFonts w:ascii="Times New Roman" w:eastAsia="Times New Roman" w:hAnsi="Times New Roman" w:cs="Times New Roman"/>
          <w:sz w:val="24"/>
          <w:szCs w:val="24"/>
        </w:rPr>
        <w:t>“</w:t>
      </w:r>
      <w:r w:rsidRPr="00EA4C1F">
        <w:rPr>
          <w:rFonts w:ascii="Times New Roman" w:eastAsia="Times New Roman" w:hAnsi="Times New Roman" w:cs="Times New Roman"/>
          <w:sz w:val="24"/>
          <w:szCs w:val="24"/>
        </w:rPr>
        <w:t>t</w:t>
      </w:r>
      <w:r>
        <w:rPr>
          <w:rFonts w:ascii="Times New Roman" w:eastAsia="Times New Roman" w:hAnsi="Times New Roman" w:cs="Times New Roman"/>
          <w:sz w:val="24"/>
          <w:szCs w:val="24"/>
        </w:rPr>
        <w:t>”</w:t>
      </w:r>
      <w:r w:rsidRPr="00EA4C1F">
        <w:rPr>
          <w:rFonts w:ascii="Times New Roman" w:eastAsia="Times New Roman" w:hAnsi="Times New Roman" w:cs="Times New Roman"/>
          <w:sz w:val="24"/>
          <w:szCs w:val="24"/>
        </w:rPr>
        <w:t>.</w:t>
      </w:r>
    </w:p>
    <w:p w14:paraId="000000FF" w14:textId="59CA30F7" w:rsidR="00E6009A" w:rsidRPr="00EA4C1F" w:rsidRDefault="00820C22" w:rsidP="00820C22">
      <w:pPr>
        <w:numPr>
          <w:ilvl w:val="0"/>
          <w:numId w:val="9"/>
        </w:numPr>
        <w:spacing w:before="100" w:beforeAutospacing="1" w:after="100" w:afterAutospacing="1" w:line="480" w:lineRule="auto"/>
        <w:jc w:val="both"/>
        <w:rPr>
          <w:rFonts w:ascii="Times New Roman" w:eastAsia="Times New Roman" w:hAnsi="Times New Roman" w:cs="Times New Roman"/>
          <w:sz w:val="24"/>
          <w:szCs w:val="24"/>
        </w:rPr>
      </w:pPr>
      <m:oMath>
        <m:r>
          <w:rPr>
            <w:rFonts w:ascii="Cambria Math" w:eastAsia="Times New Roman" w:hAnsi="Cambria Math" w:cs="Times New Roman"/>
          </w:rPr>
          <m:t>LGD</m:t>
        </m:r>
      </m:oMath>
      <w:r w:rsidR="00000000" w:rsidRPr="00EA4C1F">
        <w:rPr>
          <w:rFonts w:ascii="Times New Roman" w:eastAsia="Times New Roman" w:hAnsi="Times New Roman" w:cs="Times New Roman"/>
          <w:sz w:val="24"/>
          <w:szCs w:val="24"/>
        </w:rPr>
        <w:t xml:space="preserve"> es la tasa de pérdida dado un evento de default</w:t>
      </w:r>
    </w:p>
    <w:p w14:paraId="00000100" w14:textId="2D9AE7FA" w:rsidR="00E6009A" w:rsidRPr="00EA4C1F" w:rsidRDefault="00820C22" w:rsidP="00820C22">
      <w:pPr>
        <w:numPr>
          <w:ilvl w:val="0"/>
          <w:numId w:val="9"/>
        </w:numPr>
        <w:spacing w:before="100" w:beforeAutospacing="1" w:after="100" w:afterAutospacing="1" w:line="480" w:lineRule="auto"/>
        <w:jc w:val="both"/>
        <w:rPr>
          <w:rFonts w:ascii="Times New Roman" w:eastAsia="Times New Roman" w:hAnsi="Times New Roman" w:cs="Times New Roman"/>
          <w:sz w:val="24"/>
          <w:szCs w:val="24"/>
        </w:rPr>
      </w:pPr>
      <m:oMath>
        <m:r>
          <w:rPr>
            <w:rFonts w:ascii="Cambria Math" w:eastAsia="Times New Roman" w:hAnsi="Cambria Math" w:cs="Times New Roman"/>
          </w:rPr>
          <m:t>PD</m:t>
        </m:r>
        <m:sSub>
          <m:sSubPr>
            <m:ctrlPr>
              <w:rPr>
                <w:rFonts w:ascii="Cambria Math" w:eastAsia="Times New Roman" w:hAnsi="Cambria Math" w:cs="Times New Roman"/>
                <w:i/>
                <w:lang w:val="en-US"/>
              </w:rPr>
            </m:ctrlPr>
          </m:sSubPr>
          <m:e>
            <m:d>
              <m:dPr>
                <m:ctrlPr>
                  <w:rPr>
                    <w:rFonts w:ascii="Cambria Math" w:eastAsia="Times New Roman" w:hAnsi="Cambria Math" w:cs="Times New Roman"/>
                    <w:i/>
                    <w:lang w:val="en-US"/>
                  </w:rPr>
                </m:ctrlPr>
              </m:dPr>
              <m:e>
                <m:r>
                  <w:rPr>
                    <w:rFonts w:ascii="Cambria Math" w:eastAsia="Times New Roman" w:hAnsi="Cambria Math" w:cs="Times New Roman"/>
                  </w:rPr>
                  <m:t>t</m:t>
                </m:r>
              </m:e>
            </m:d>
            <m:ctrlPr>
              <w:rPr>
                <w:rFonts w:ascii="Cambria Math" w:eastAsia="Times New Roman" w:hAnsi="Cambria Math" w:cs="Times New Roman"/>
                <w:i/>
              </w:rPr>
            </m:ctrlPr>
          </m:e>
          <m:sub>
            <m:r>
              <w:rPr>
                <w:rFonts w:ascii="Cambria Math" w:eastAsia="Times New Roman" w:hAnsi="Cambria Math" w:cs="Times New Roman"/>
              </w:rPr>
              <m:t>marg</m:t>
            </m:r>
          </m:sub>
        </m:sSub>
      </m:oMath>
      <w:r w:rsidR="00000000" w:rsidRPr="00EA4C1F">
        <w:rPr>
          <w:rFonts w:ascii="Times New Roman" w:eastAsia="Times New Roman" w:hAnsi="Times New Roman" w:cs="Times New Roman"/>
          <w:sz w:val="24"/>
          <w:szCs w:val="24"/>
        </w:rPr>
        <w:t xml:space="preserve"> e</w:t>
      </w:r>
      <w:r>
        <w:rPr>
          <w:rFonts w:ascii="Times New Roman" w:eastAsia="Times New Roman" w:hAnsi="Times New Roman" w:cs="Times New Roman"/>
          <w:sz w:val="24"/>
          <w:szCs w:val="24"/>
        </w:rPr>
        <w:t>s</w:t>
      </w:r>
      <w:r w:rsidR="00000000" w:rsidRPr="00EA4C1F">
        <w:rPr>
          <w:rFonts w:ascii="Times New Roman" w:eastAsia="Times New Roman" w:hAnsi="Times New Roman" w:cs="Times New Roman"/>
          <w:sz w:val="24"/>
          <w:szCs w:val="24"/>
        </w:rPr>
        <w:t xml:space="preserve"> la probabilidad marginal de un evento de default en ese periodo</w:t>
      </w:r>
    </w:p>
    <w:p w14:paraId="00000101" w14:textId="452C235C" w:rsidR="00E6009A" w:rsidRPr="00EA4C1F" w:rsidRDefault="00820C22" w:rsidP="00820C22">
      <w:pPr>
        <w:numPr>
          <w:ilvl w:val="0"/>
          <w:numId w:val="9"/>
        </w:numPr>
        <w:spacing w:before="100" w:beforeAutospacing="1" w:after="100" w:afterAutospacing="1" w:line="480" w:lineRule="auto"/>
        <w:jc w:val="both"/>
        <w:rPr>
          <w:rFonts w:ascii="Times New Roman" w:eastAsia="Times New Roman" w:hAnsi="Times New Roman" w:cs="Times New Roman"/>
          <w:sz w:val="24"/>
          <w:szCs w:val="24"/>
        </w:rPr>
      </w:pPr>
      <m:oMath>
        <m:r>
          <w:rPr>
            <w:rFonts w:ascii="Cambria Math" w:eastAsia="Times New Roman" w:hAnsi="Cambria Math" w:cs="Times New Roman"/>
          </w:rPr>
          <m:t>PD</m:t>
        </m:r>
        <m:sSub>
          <m:sSubPr>
            <m:ctrlPr>
              <w:rPr>
                <w:rFonts w:ascii="Cambria Math" w:eastAsia="Times New Roman" w:hAnsi="Cambria Math" w:cs="Times New Roman"/>
                <w:i/>
                <w:lang w:val="en-US"/>
              </w:rPr>
            </m:ctrlPr>
          </m:sSubPr>
          <m:e>
            <m:d>
              <m:dPr>
                <m:ctrlPr>
                  <w:rPr>
                    <w:rFonts w:ascii="Cambria Math" w:eastAsia="Times New Roman" w:hAnsi="Cambria Math" w:cs="Times New Roman"/>
                    <w:i/>
                    <w:lang w:val="en-US"/>
                  </w:rPr>
                </m:ctrlPr>
              </m:dPr>
              <m:e>
                <m:r>
                  <w:rPr>
                    <w:rFonts w:ascii="Cambria Math" w:eastAsia="Times New Roman" w:hAnsi="Cambria Math" w:cs="Times New Roman"/>
                  </w:rPr>
                  <m:t>t</m:t>
                </m:r>
              </m:e>
            </m:d>
            <m:ctrlPr>
              <w:rPr>
                <w:rFonts w:ascii="Cambria Math" w:eastAsia="Times New Roman" w:hAnsi="Cambria Math" w:cs="Times New Roman"/>
                <w:i/>
              </w:rPr>
            </m:ctrlPr>
          </m:e>
          <m:sub>
            <m:r>
              <w:rPr>
                <w:rFonts w:ascii="Cambria Math" w:eastAsia="Times New Roman" w:hAnsi="Cambria Math" w:cs="Times New Roman"/>
              </w:rPr>
              <m:t>Acum</m:t>
            </m:r>
          </m:sub>
        </m:sSub>
      </m:oMath>
      <w:r w:rsidR="00000000" w:rsidRPr="00EA4C1F">
        <w:rPr>
          <w:rFonts w:ascii="Times New Roman" w:eastAsia="Times New Roman" w:hAnsi="Times New Roman" w:cs="Times New Roman"/>
          <w:sz w:val="24"/>
          <w:szCs w:val="24"/>
        </w:rPr>
        <w:t xml:space="preserve"> es la probabilidad de un evento de default desde el inicio.</w:t>
      </w:r>
    </w:p>
    <w:p w14:paraId="00000102" w14:textId="77777777"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Dada la existencia de bonos que se pagan en periodos diferentes a las probabilidades de default consideradas, se debe interpolar valores intermedios y extrapolar valores fuera de la muestra. Esto se hace mediante un modelo “</w:t>
      </w:r>
      <w:proofErr w:type="spellStart"/>
      <w:r w:rsidRPr="00EA4C1F">
        <w:rPr>
          <w:rFonts w:ascii="Times New Roman" w:eastAsia="Times New Roman" w:hAnsi="Times New Roman" w:cs="Times New Roman"/>
          <w:sz w:val="24"/>
          <w:szCs w:val="24"/>
        </w:rPr>
        <w:t>piecewise</w:t>
      </w:r>
      <w:proofErr w:type="spellEnd"/>
      <w:r w:rsidRPr="00EA4C1F">
        <w:rPr>
          <w:rFonts w:ascii="Times New Roman" w:eastAsia="Times New Roman" w:hAnsi="Times New Roman" w:cs="Times New Roman"/>
          <w:sz w:val="24"/>
          <w:szCs w:val="24"/>
        </w:rPr>
        <w:t xml:space="preserve"> </w:t>
      </w:r>
      <w:proofErr w:type="spellStart"/>
      <w:r w:rsidRPr="00EA4C1F">
        <w:rPr>
          <w:rFonts w:ascii="Times New Roman" w:eastAsia="Times New Roman" w:hAnsi="Times New Roman" w:cs="Times New Roman"/>
          <w:sz w:val="24"/>
          <w:szCs w:val="24"/>
        </w:rPr>
        <w:t>constant</w:t>
      </w:r>
      <w:proofErr w:type="spellEnd"/>
      <w:r w:rsidRPr="00EA4C1F">
        <w:rPr>
          <w:rFonts w:ascii="Times New Roman" w:eastAsia="Times New Roman" w:hAnsi="Times New Roman" w:cs="Times New Roman"/>
          <w:sz w:val="24"/>
          <w:szCs w:val="24"/>
        </w:rPr>
        <w:t xml:space="preserve"> </w:t>
      </w:r>
      <w:proofErr w:type="spellStart"/>
      <w:r w:rsidRPr="00EA4C1F">
        <w:rPr>
          <w:rFonts w:ascii="Times New Roman" w:eastAsia="Times New Roman" w:hAnsi="Times New Roman" w:cs="Times New Roman"/>
          <w:sz w:val="24"/>
          <w:szCs w:val="24"/>
        </w:rPr>
        <w:t>hazard</w:t>
      </w:r>
      <w:proofErr w:type="spellEnd"/>
      <w:r w:rsidRPr="00EA4C1F">
        <w:rPr>
          <w:rFonts w:ascii="Times New Roman" w:eastAsia="Times New Roman" w:hAnsi="Times New Roman" w:cs="Times New Roman"/>
          <w:sz w:val="24"/>
          <w:szCs w:val="24"/>
        </w:rPr>
        <w:t xml:space="preserve">”, el cual asume que el riesgo instantáneo de default permanece constante dentro de cada intervalo temporal entre dos puntos y cambia al pasar al intervalo siguiente. De forma </w:t>
      </w:r>
      <w:proofErr w:type="spellStart"/>
      <w:r w:rsidRPr="00EA4C1F">
        <w:rPr>
          <w:rFonts w:ascii="Times New Roman" w:eastAsia="Times New Roman" w:hAnsi="Times New Roman" w:cs="Times New Roman"/>
          <w:sz w:val="24"/>
          <w:szCs w:val="24"/>
        </w:rPr>
        <w:t>algebráica</w:t>
      </w:r>
      <w:proofErr w:type="spellEnd"/>
      <w:r w:rsidRPr="00EA4C1F">
        <w:rPr>
          <w:rFonts w:ascii="Times New Roman" w:eastAsia="Times New Roman" w:hAnsi="Times New Roman" w:cs="Times New Roman"/>
          <w:sz w:val="24"/>
          <w:szCs w:val="24"/>
        </w:rPr>
        <w:t>:</w:t>
      </w:r>
    </w:p>
    <w:p w14:paraId="00000103" w14:textId="2BC80321" w:rsidR="00E6009A" w:rsidRPr="00EA4C1F" w:rsidRDefault="00820C22" w:rsidP="00EA4C1F">
      <w:pPr>
        <w:spacing w:before="240" w:after="240" w:line="480" w:lineRule="auto"/>
        <w:jc w:val="both"/>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mu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 xml:space="preserve">= </m:t>
          </m:r>
          <m:r>
            <w:rPr>
              <w:rFonts w:ascii="Cambria Math" w:eastAsia="Times New Roman" w:hAnsi="Cambria Math" w:cs="Times New Roman"/>
              <w:sz w:val="24"/>
              <w:szCs w:val="24"/>
            </w:rPr>
            <m:t>-ln((1-PD</m:t>
          </m:r>
          <m:sSub>
            <m:sSubPr>
              <m:ctrlPr>
                <w:rPr>
                  <w:rFonts w:ascii="Cambria Math" w:eastAsia="Times New Roman" w:hAnsi="Cambria Math" w:cs="Times New Roman"/>
                  <w:i/>
                  <w:sz w:val="24"/>
                  <w:szCs w:val="24"/>
                </w:rPr>
              </m:ctrlPr>
            </m:sSubPr>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sub>
              <m:r>
                <w:rPr>
                  <w:rFonts w:ascii="Cambria Math" w:eastAsia="Times New Roman" w:hAnsi="Cambria Math" w:cs="Times New Roman"/>
                  <w:sz w:val="24"/>
                  <w:szCs w:val="24"/>
                </w:rPr>
                <m:t>A</m:t>
              </m:r>
              <m:r>
                <w:rPr>
                  <w:rFonts w:ascii="Cambria Math" w:eastAsia="Times New Roman" w:hAnsi="Cambria Math" w:cs="Times New Roman"/>
                  <w:sz w:val="24"/>
                  <w:szCs w:val="24"/>
                </w:rPr>
                <m:t>cum</m:t>
              </m:r>
            </m:sub>
          </m:sSub>
          <m:r>
            <w:rPr>
              <w:rFonts w:ascii="Cambria Math" w:eastAsia="Times New Roman" w:hAnsi="Cambria Math" w:cs="Times New Roman"/>
              <w:sz w:val="24"/>
              <w:szCs w:val="24"/>
            </w:rPr>
            <m:t xml:space="preserve">)) </m:t>
          </m:r>
        </m:oMath>
      </m:oMathPara>
    </w:p>
    <w:p w14:paraId="00000104" w14:textId="6E24C74D" w:rsidR="00E6009A" w:rsidRPr="00820C22" w:rsidRDefault="00820C22" w:rsidP="00EA4C1F">
      <w:pPr>
        <w:spacing w:before="240" w:after="240" w:line="480" w:lineRule="auto"/>
        <w:jc w:val="both"/>
        <w:rPr>
          <w:rFonts w:ascii="Times New Roman" w:eastAsia="Times New Roman" w:hAnsi="Times New Roman" w:cs="Times New Roman"/>
          <w:sz w:val="24"/>
          <w:szCs w:val="24"/>
          <w:lang w:val="en-US"/>
        </w:rPr>
      </w:pPr>
      <m:oMathPara>
        <m:oMath>
          <m:r>
            <w:rPr>
              <w:rFonts w:ascii="Cambria Math" w:eastAsia="Times New Roman" w:hAnsi="Cambria Math" w:cs="Times New Roman"/>
              <w:sz w:val="24"/>
              <w:szCs w:val="24"/>
              <w:lang w:val="en-US"/>
            </w:rPr>
            <m:t>PD</m:t>
          </m:r>
          <m:sSub>
            <m:sSubPr>
              <m:ctrlPr>
                <w:rPr>
                  <w:rFonts w:ascii="Cambria Math" w:eastAsia="Times New Roman" w:hAnsi="Cambria Math" w:cs="Times New Roman"/>
                  <w:i/>
                  <w:sz w:val="24"/>
                  <w:szCs w:val="24"/>
                  <w:lang w:val="en-US"/>
                </w:rPr>
              </m:ctrlPr>
            </m:sSubPr>
            <m:e>
              <m:d>
                <m:dPr>
                  <m:ctrlPr>
                    <w:rPr>
                      <w:rFonts w:ascii="Cambria Math" w:eastAsia="Times New Roman" w:hAnsi="Cambria Math" w:cs="Times New Roman"/>
                      <w:i/>
                      <w:sz w:val="24"/>
                      <w:szCs w:val="24"/>
                      <w:lang w:val="en-US"/>
                    </w:rPr>
                  </m:ctrlPr>
                </m:dPr>
                <m:e>
                  <m:r>
                    <w:rPr>
                      <w:rFonts w:ascii="Cambria Math" w:eastAsia="Times New Roman" w:hAnsi="Cambria Math" w:cs="Times New Roman"/>
                      <w:sz w:val="24"/>
                      <w:szCs w:val="24"/>
                      <w:lang w:val="en-US"/>
                    </w:rPr>
                    <m:t>t+m</m:t>
                  </m:r>
                </m:e>
              </m:d>
            </m:e>
            <m:sub>
              <m:r>
                <w:rPr>
                  <w:rFonts w:ascii="Cambria Math" w:eastAsia="Times New Roman" w:hAnsi="Cambria Math" w:cs="Times New Roman"/>
                  <w:sz w:val="24"/>
                  <w:szCs w:val="24"/>
                  <w:lang w:val="en-US"/>
                </w:rPr>
                <m:t>A</m:t>
              </m:r>
              <m:r>
                <w:rPr>
                  <w:rFonts w:ascii="Cambria Math" w:eastAsia="Times New Roman" w:hAnsi="Cambria Math" w:cs="Times New Roman"/>
                  <w:sz w:val="24"/>
                  <w:szCs w:val="24"/>
                  <w:lang w:val="en-US"/>
                </w:rPr>
                <m:t>cum</m:t>
              </m:r>
            </m:sub>
          </m:sSub>
          <m:r>
            <w:rPr>
              <w:rFonts w:ascii="Cambria Math" w:eastAsia="Times New Roman" w:hAnsi="Cambria Math" w:cs="Times New Roman"/>
              <w:sz w:val="24"/>
              <w:szCs w:val="24"/>
              <w:lang w:val="en-US"/>
            </w:rPr>
            <m:t xml:space="preserve"> = 1-</m:t>
          </m:r>
          <m:sSup>
            <m:sSupPr>
              <m:ctrlPr>
                <w:rPr>
                  <w:rFonts w:ascii="Cambria Math" w:eastAsia="Times New Roman" w:hAnsi="Cambria Math" w:cs="Times New Roman"/>
                  <w:i/>
                  <w:sz w:val="24"/>
                  <w:szCs w:val="24"/>
                  <w:lang w:val="en-US"/>
                </w:rPr>
              </m:ctrlPr>
            </m:sSupPr>
            <m:e>
              <m:r>
                <w:rPr>
                  <w:rFonts w:ascii="Cambria Math" w:eastAsia="Times New Roman" w:hAnsi="Cambria Math" w:cs="Times New Roman"/>
                  <w:sz w:val="24"/>
                  <w:szCs w:val="24"/>
                  <w:lang w:val="en-US"/>
                </w:rPr>
                <m:t>e</m:t>
              </m:r>
            </m:e>
            <m:sup>
              <m:r>
                <w:rPr>
                  <w:rFonts w:ascii="Cambria Math" w:eastAsia="Times New Roman" w:hAnsi="Cambria Math" w:cs="Times New Roman"/>
                  <w:sz w:val="24"/>
                  <w:szCs w:val="24"/>
                  <w:lang w:val="en-US"/>
                </w:rPr>
                <m:t xml:space="preserve">- </m:t>
              </m:r>
              <m:d>
                <m:dPr>
                  <m:ctrlPr>
                    <w:rPr>
                      <w:rFonts w:ascii="Cambria Math" w:eastAsia="Times New Roman" w:hAnsi="Cambria Math" w:cs="Times New Roman"/>
                      <w:i/>
                      <w:sz w:val="24"/>
                      <w:szCs w:val="24"/>
                      <w:lang w:val="en-US"/>
                    </w:rPr>
                  </m:ctrlPr>
                </m:dPr>
                <m:e>
                  <m:d>
                    <m:dPr>
                      <m:ctrlPr>
                        <w:rPr>
                          <w:rFonts w:ascii="Cambria Math" w:eastAsia="Times New Roman" w:hAnsi="Cambria Math" w:cs="Times New Roman"/>
                          <w:i/>
                          <w:sz w:val="24"/>
                          <w:szCs w:val="24"/>
                          <w:lang w:val="en-US"/>
                        </w:rPr>
                      </m:ctrlPr>
                    </m:dPr>
                    <m:e>
                      <m:d>
                        <m:dPr>
                          <m:ctrlPr>
                            <w:rPr>
                              <w:rFonts w:ascii="Cambria Math" w:eastAsia="Times New Roman" w:hAnsi="Cambria Math" w:cs="Times New Roman"/>
                              <w:i/>
                              <w:sz w:val="24"/>
                              <w:szCs w:val="24"/>
                              <w:lang w:val="en-US"/>
                            </w:rPr>
                          </m:ctrlPr>
                        </m:dPr>
                        <m:e>
                          <m:r>
                            <w:rPr>
                              <w:rFonts w:ascii="Cambria Math" w:eastAsia="Times New Roman" w:hAnsi="Cambria Math" w:cs="Times New Roman"/>
                              <w:sz w:val="24"/>
                              <w:szCs w:val="24"/>
                              <w:lang w:val="en-US"/>
                            </w:rPr>
                            <m:t>mu</m:t>
                          </m:r>
                          <m:d>
                            <m:dPr>
                              <m:ctrlPr>
                                <w:rPr>
                                  <w:rFonts w:ascii="Cambria Math" w:eastAsia="Times New Roman" w:hAnsi="Cambria Math" w:cs="Times New Roman"/>
                                  <w:i/>
                                  <w:sz w:val="24"/>
                                  <w:szCs w:val="24"/>
                                  <w:lang w:val="en-US"/>
                                </w:rPr>
                              </m:ctrlPr>
                            </m:dPr>
                            <m:e>
                              <m:r>
                                <w:rPr>
                                  <w:rFonts w:ascii="Cambria Math" w:eastAsia="Times New Roman" w:hAnsi="Cambria Math" w:cs="Times New Roman"/>
                                  <w:sz w:val="24"/>
                                  <w:szCs w:val="24"/>
                                  <w:lang w:val="en-US"/>
                                </w:rPr>
                                <m:t>t+1</m:t>
                              </m:r>
                            </m:e>
                          </m:d>
                          <m:r>
                            <w:rPr>
                              <w:rFonts w:ascii="Cambria Math" w:eastAsia="Times New Roman" w:hAnsi="Cambria Math" w:cs="Times New Roman"/>
                              <w:sz w:val="24"/>
                              <w:szCs w:val="24"/>
                              <w:lang w:val="en-US"/>
                            </w:rPr>
                            <m:t>- mu</m:t>
                          </m:r>
                          <m:d>
                            <m:dPr>
                              <m:ctrlPr>
                                <w:rPr>
                                  <w:rFonts w:ascii="Cambria Math" w:eastAsia="Times New Roman" w:hAnsi="Cambria Math" w:cs="Times New Roman"/>
                                  <w:i/>
                                  <w:sz w:val="24"/>
                                  <w:szCs w:val="24"/>
                                  <w:lang w:val="en-US"/>
                                </w:rPr>
                              </m:ctrlPr>
                            </m:dPr>
                            <m:e>
                              <m:r>
                                <w:rPr>
                                  <w:rFonts w:ascii="Cambria Math" w:eastAsia="Times New Roman" w:hAnsi="Cambria Math" w:cs="Times New Roman"/>
                                  <w:sz w:val="24"/>
                                  <w:szCs w:val="24"/>
                                  <w:lang w:val="en-US"/>
                                </w:rPr>
                                <m:t>t</m:t>
                              </m:r>
                            </m:e>
                          </m:d>
                        </m:e>
                      </m:d>
                      <m:r>
                        <w:rPr>
                          <w:rFonts w:ascii="Cambria Math" w:eastAsia="Times New Roman" w:hAnsi="Cambria Math" w:cs="Times New Roman"/>
                          <w:sz w:val="24"/>
                          <w:szCs w:val="24"/>
                          <w:lang w:val="en-US"/>
                        </w:rPr>
                        <m:t xml:space="preserve">* </m:t>
                      </m:r>
                      <m:r>
                        <w:rPr>
                          <w:rFonts w:ascii="Cambria Math" w:eastAsia="Times New Roman" w:hAnsi="Cambria Math" w:cs="Times New Roman"/>
                          <w:sz w:val="24"/>
                          <w:szCs w:val="24"/>
                          <w:lang w:val="en-US"/>
                        </w:rPr>
                        <m:t>m</m:t>
                      </m:r>
                    </m:e>
                  </m:d>
                  <m:r>
                    <w:rPr>
                      <w:rFonts w:ascii="Cambria Math" w:eastAsia="Times New Roman" w:hAnsi="Cambria Math" w:cs="Times New Roman"/>
                      <w:sz w:val="24"/>
                      <w:szCs w:val="24"/>
                      <w:lang w:val="en-US"/>
                    </w:rPr>
                    <m:t>+ mu</m:t>
                  </m:r>
                  <m:d>
                    <m:dPr>
                      <m:ctrlPr>
                        <w:rPr>
                          <w:rFonts w:ascii="Cambria Math" w:eastAsia="Times New Roman" w:hAnsi="Cambria Math" w:cs="Times New Roman"/>
                          <w:i/>
                          <w:sz w:val="24"/>
                          <w:szCs w:val="24"/>
                          <w:lang w:val="en-US"/>
                        </w:rPr>
                      </m:ctrlPr>
                    </m:dPr>
                    <m:e>
                      <m:r>
                        <w:rPr>
                          <w:rFonts w:ascii="Cambria Math" w:eastAsia="Times New Roman" w:hAnsi="Cambria Math" w:cs="Times New Roman"/>
                          <w:sz w:val="24"/>
                          <w:szCs w:val="24"/>
                          <w:lang w:val="en-US"/>
                        </w:rPr>
                        <m:t>t</m:t>
                      </m:r>
                    </m:e>
                  </m:d>
                </m:e>
              </m:d>
            </m:sup>
          </m:sSup>
        </m:oMath>
      </m:oMathPara>
    </w:p>
    <w:p w14:paraId="2E459F23" w14:textId="0668D4A1" w:rsidR="00820C22" w:rsidRDefault="00820C22" w:rsidP="00EA4C1F">
      <w:pPr>
        <w:spacing w:before="240" w:after="240" w:line="48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Donde:</w:t>
      </w:r>
    </w:p>
    <w:p w14:paraId="0A82B034" w14:textId="2F3B3198" w:rsidR="00820C22" w:rsidRPr="00820C22" w:rsidRDefault="00820C22" w:rsidP="00820C22">
      <w:pPr>
        <w:pStyle w:val="ListParagraph"/>
        <w:numPr>
          <w:ilvl w:val="0"/>
          <w:numId w:val="9"/>
        </w:numPr>
        <w:spacing w:before="240" w:after="240" w:line="480" w:lineRule="auto"/>
        <w:jc w:val="both"/>
        <w:rPr>
          <w:rFonts w:ascii="Times New Roman" w:eastAsia="Times New Roman" w:hAnsi="Times New Roman" w:cs="Times New Roman"/>
          <w:sz w:val="24"/>
          <w:szCs w:val="24"/>
          <w:lang w:val="es-ES"/>
        </w:rPr>
      </w:pPr>
      <m:oMath>
        <m:r>
          <w:rPr>
            <w:rFonts w:ascii="Cambria Math" w:eastAsia="Times New Roman" w:hAnsi="Cambria Math" w:cs="Times New Roman"/>
            <w:sz w:val="24"/>
            <w:szCs w:val="24"/>
          </w:rPr>
          <m:t>mu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oMath>
      <w:r>
        <w:rPr>
          <w:rFonts w:ascii="Times New Roman" w:eastAsia="Times New Roman" w:hAnsi="Times New Roman" w:cs="Times New Roman"/>
          <w:sz w:val="24"/>
          <w:szCs w:val="24"/>
        </w:rPr>
        <w:t xml:space="preserve"> es la tasa instantánea de default para el momento “t”</w:t>
      </w:r>
    </w:p>
    <w:p w14:paraId="1445D866" w14:textId="67CE6B22" w:rsidR="00820C22" w:rsidRPr="00122F7F" w:rsidRDefault="00820C22" w:rsidP="00820C22">
      <w:pPr>
        <w:pStyle w:val="ListParagraph"/>
        <w:numPr>
          <w:ilvl w:val="0"/>
          <w:numId w:val="9"/>
        </w:numPr>
        <w:spacing w:before="240" w:after="240" w:line="480" w:lineRule="auto"/>
        <w:jc w:val="both"/>
        <w:rPr>
          <w:rFonts w:ascii="Times New Roman" w:eastAsia="Times New Roman" w:hAnsi="Times New Roman" w:cs="Times New Roman"/>
          <w:sz w:val="24"/>
          <w:szCs w:val="24"/>
          <w:lang w:val="es-ES"/>
        </w:rPr>
      </w:pPr>
      <m:oMath>
        <m:r>
          <w:rPr>
            <w:rFonts w:ascii="Cambria Math" w:eastAsia="Times New Roman" w:hAnsi="Cambria Math" w:cs="Times New Roman"/>
            <w:sz w:val="24"/>
            <w:szCs w:val="24"/>
          </w:rPr>
          <m:t>PD</m:t>
        </m:r>
        <m:sSub>
          <m:sSubPr>
            <m:ctrlPr>
              <w:rPr>
                <w:rFonts w:ascii="Cambria Math" w:eastAsia="Times New Roman" w:hAnsi="Cambria Math" w:cs="Times New Roman"/>
                <w:i/>
                <w:sz w:val="24"/>
                <w:szCs w:val="24"/>
              </w:rPr>
            </m:ctrlPr>
          </m:sSubPr>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sub>
            <m:r>
              <w:rPr>
                <w:rFonts w:ascii="Cambria Math" w:eastAsia="Times New Roman" w:hAnsi="Cambria Math" w:cs="Times New Roman"/>
                <w:sz w:val="24"/>
                <w:szCs w:val="24"/>
              </w:rPr>
              <m:t>A</m:t>
            </m:r>
            <m:r>
              <w:rPr>
                <w:rFonts w:ascii="Cambria Math" w:eastAsia="Times New Roman" w:hAnsi="Cambria Math" w:cs="Times New Roman"/>
                <w:sz w:val="24"/>
                <w:szCs w:val="24"/>
              </w:rPr>
              <m:t>cum</m:t>
            </m:r>
          </m:sub>
        </m:sSub>
      </m:oMath>
      <w:r>
        <w:rPr>
          <w:rFonts w:ascii="Times New Roman" w:eastAsia="Times New Roman" w:hAnsi="Times New Roman" w:cs="Times New Roman"/>
          <w:sz w:val="24"/>
          <w:szCs w:val="24"/>
        </w:rPr>
        <w:t xml:space="preserve"> es la probabilidad de default acumulada al momento “t”</w:t>
      </w:r>
    </w:p>
    <w:p w14:paraId="5F322C6D" w14:textId="42FBD709" w:rsidR="00122F7F" w:rsidRPr="00820C22" w:rsidRDefault="00122F7F" w:rsidP="00820C22">
      <w:pPr>
        <w:pStyle w:val="ListParagraph"/>
        <w:numPr>
          <w:ilvl w:val="0"/>
          <w:numId w:val="9"/>
        </w:numPr>
        <w:spacing w:before="240" w:after="240" w:line="480" w:lineRule="auto"/>
        <w:jc w:val="both"/>
        <w:rPr>
          <w:rFonts w:ascii="Times New Roman" w:eastAsia="Times New Roman" w:hAnsi="Times New Roman" w:cs="Times New Roman"/>
          <w:sz w:val="24"/>
          <w:szCs w:val="24"/>
          <w:lang w:val="es-ES"/>
        </w:rPr>
      </w:pPr>
      <m:oMath>
        <m:r>
          <w:rPr>
            <w:rFonts w:ascii="Cambria Math" w:eastAsia="Times New Roman" w:hAnsi="Cambria Math" w:cs="Times New Roman"/>
            <w:sz w:val="24"/>
            <w:szCs w:val="24"/>
            <w:lang w:val="en-US"/>
          </w:rPr>
          <m:t>PD</m:t>
        </m:r>
        <m:sSub>
          <m:sSubPr>
            <m:ctrlPr>
              <w:rPr>
                <w:rFonts w:ascii="Cambria Math" w:eastAsia="Times New Roman" w:hAnsi="Cambria Math" w:cs="Times New Roman"/>
                <w:i/>
                <w:sz w:val="24"/>
                <w:szCs w:val="24"/>
                <w:lang w:val="en-US"/>
              </w:rPr>
            </m:ctrlPr>
          </m:sSubPr>
          <m:e>
            <m:d>
              <m:dPr>
                <m:ctrlPr>
                  <w:rPr>
                    <w:rFonts w:ascii="Cambria Math" w:eastAsia="Times New Roman" w:hAnsi="Cambria Math" w:cs="Times New Roman"/>
                    <w:i/>
                    <w:sz w:val="24"/>
                    <w:szCs w:val="24"/>
                    <w:lang w:val="en-US"/>
                  </w:rPr>
                </m:ctrlPr>
              </m:dPr>
              <m:e>
                <m:r>
                  <w:rPr>
                    <w:rFonts w:ascii="Cambria Math" w:eastAsia="Times New Roman" w:hAnsi="Cambria Math" w:cs="Times New Roman"/>
                    <w:sz w:val="24"/>
                    <w:szCs w:val="24"/>
                    <w:lang w:val="en-US"/>
                  </w:rPr>
                  <m:t>t</m:t>
                </m:r>
                <m:r>
                  <w:rPr>
                    <w:rFonts w:ascii="Cambria Math" w:eastAsia="Times New Roman" w:hAnsi="Cambria Math" w:cs="Times New Roman"/>
                    <w:sz w:val="24"/>
                    <w:szCs w:val="24"/>
                    <w:lang w:val="es-ES"/>
                  </w:rPr>
                  <m:t>+</m:t>
                </m:r>
                <m:r>
                  <w:rPr>
                    <w:rFonts w:ascii="Cambria Math" w:eastAsia="Times New Roman" w:hAnsi="Cambria Math" w:cs="Times New Roman"/>
                    <w:sz w:val="24"/>
                    <w:szCs w:val="24"/>
                    <w:lang w:val="en-US"/>
                  </w:rPr>
                  <m:t>m</m:t>
                </m:r>
              </m:e>
            </m:d>
          </m:e>
          <m:sub>
            <m:r>
              <w:rPr>
                <w:rFonts w:ascii="Cambria Math" w:eastAsia="Times New Roman" w:hAnsi="Cambria Math" w:cs="Times New Roman"/>
                <w:sz w:val="24"/>
                <w:szCs w:val="24"/>
                <w:lang w:val="en-US"/>
              </w:rPr>
              <m:t>A</m:t>
            </m:r>
            <m:r>
              <w:rPr>
                <w:rFonts w:ascii="Cambria Math" w:eastAsia="Times New Roman" w:hAnsi="Cambria Math" w:cs="Times New Roman"/>
                <w:sz w:val="24"/>
                <w:szCs w:val="24"/>
                <w:lang w:val="en-US"/>
              </w:rPr>
              <m:t>cum</m:t>
            </m:r>
          </m:sub>
        </m:sSub>
      </m:oMath>
      <w:r w:rsidRPr="00122F7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es la probabilidad de default acumulada al momento “t”</w:t>
      </w:r>
      <w:r>
        <w:rPr>
          <w:rFonts w:ascii="Times New Roman" w:eastAsia="Times New Roman" w:hAnsi="Times New Roman" w:cs="Times New Roman"/>
          <w:sz w:val="24"/>
          <w:szCs w:val="24"/>
        </w:rPr>
        <w:t>, sumado a una fracción de tiempo “m”</w:t>
      </w:r>
    </w:p>
    <w:p w14:paraId="00000105" w14:textId="77777777"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Para valores mayores a 8 años, se asume que la serie se comporta como una distribución exponencial con tasa instantánea igual a la última tasa instantánea empírica. De esta forma:</w:t>
      </w:r>
    </w:p>
    <w:p w14:paraId="00000106" w14:textId="27A6CAC2" w:rsidR="00E6009A" w:rsidRPr="00EA4C1F" w:rsidRDefault="00122F7F" w:rsidP="00EA4C1F">
      <w:pPr>
        <w:spacing w:before="240" w:after="240" w:line="480" w:lineRule="auto"/>
        <w:jc w:val="both"/>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mu</m:t>
          </m:r>
          <m:r>
            <w:rPr>
              <w:rFonts w:ascii="Cambria Math" w:eastAsia="Times New Roman" w:hAnsi="Cambria Math" w:cs="Times New Roman"/>
              <w:sz w:val="24"/>
              <w:szCs w:val="24"/>
            </w:rPr>
            <m:t>(</m:t>
          </m:r>
          <m:r>
            <w:rPr>
              <w:rFonts w:ascii="Cambria Math" w:eastAsia="Times New Roman" w:hAnsi="Cambria Math" w:cs="Times New Roman"/>
              <w:sz w:val="24"/>
              <w:szCs w:val="24"/>
            </w:rPr>
            <m:t>8</m:t>
          </m:r>
          <m:r>
            <w:rPr>
              <w:rFonts w:ascii="Cambria Math" w:eastAsia="Times New Roman" w:hAnsi="Cambria Math" w:cs="Times New Roman"/>
              <w:sz w:val="24"/>
              <w:szCs w:val="24"/>
            </w:rPr>
            <m:t>)</m:t>
          </m:r>
          <m:r>
            <w:rPr>
              <w:rFonts w:ascii="Cambria Math" w:eastAsia="Times New Roman" w:hAnsi="Cambria Math" w:cs="Times New Roman"/>
              <w:sz w:val="24"/>
              <w:szCs w:val="24"/>
            </w:rPr>
            <m:t xml:space="preserve"> = -ln(1-PD(8)_</m:t>
          </m:r>
          <m:r>
            <w:rPr>
              <w:rFonts w:ascii="Cambria Math" w:eastAsia="Times New Roman" w:hAnsi="Cambria Math" w:cs="Times New Roman"/>
              <w:sz w:val="24"/>
              <w:szCs w:val="24"/>
            </w:rPr>
            <m:t>A</m:t>
          </m:r>
          <m:r>
            <w:rPr>
              <w:rFonts w:ascii="Cambria Math" w:eastAsia="Times New Roman" w:hAnsi="Cambria Math" w:cs="Times New Roman"/>
              <w:sz w:val="24"/>
              <w:szCs w:val="24"/>
            </w:rPr>
            <m:t>cum)</m:t>
          </m:r>
        </m:oMath>
      </m:oMathPara>
    </w:p>
    <w:p w14:paraId="00000107" w14:textId="227B79E7" w:rsidR="00E6009A" w:rsidRPr="00122F7F" w:rsidRDefault="00122F7F" w:rsidP="00EA4C1F">
      <w:pPr>
        <w:spacing w:before="240" w:after="240" w:line="480" w:lineRule="auto"/>
        <w:jc w:val="both"/>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w:lastRenderedPageBreak/>
            <m:t>PD</m:t>
          </m:r>
          <m:sSub>
            <m:sSubPr>
              <m:ctrlPr>
                <w:rPr>
                  <w:rFonts w:ascii="Cambria Math" w:eastAsia="Times New Roman" w:hAnsi="Cambria Math" w:cs="Times New Roman"/>
                  <w:i/>
                  <w:sz w:val="24"/>
                  <w:szCs w:val="24"/>
                </w:rPr>
              </m:ctrlPr>
            </m:sSubPr>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m:t>
                  </m:r>
                  <m:r>
                    <w:rPr>
                      <w:rFonts w:ascii="Cambria Math" w:eastAsia="Times New Roman" w:hAnsi="Cambria Math" w:cs="Times New Roman"/>
                      <w:sz w:val="24"/>
                      <w:szCs w:val="24"/>
                    </w:rPr>
                    <m:t>+</m:t>
                  </m:r>
                  <m:r>
                    <w:rPr>
                      <w:rFonts w:ascii="Cambria Math" w:eastAsia="Times New Roman" w:hAnsi="Cambria Math" w:cs="Times New Roman"/>
                      <w:sz w:val="24"/>
                      <w:szCs w:val="24"/>
                    </w:rPr>
                    <m:t>n</m:t>
                  </m:r>
                </m:e>
              </m:d>
            </m:e>
            <m:sub>
              <m:r>
                <w:rPr>
                  <w:rFonts w:ascii="Cambria Math" w:eastAsia="Times New Roman" w:hAnsi="Cambria Math" w:cs="Times New Roman"/>
                  <w:sz w:val="24"/>
                  <w:szCs w:val="24"/>
                </w:rPr>
                <m:t>A</m:t>
              </m:r>
              <m:r>
                <w:rPr>
                  <w:rFonts w:ascii="Cambria Math" w:eastAsia="Times New Roman" w:hAnsi="Cambria Math" w:cs="Times New Roman"/>
                  <w:sz w:val="24"/>
                  <w:szCs w:val="24"/>
                </w:rPr>
                <m:t>cum</m:t>
              </m:r>
            </m:sub>
          </m:sSub>
          <m:r>
            <w:rPr>
              <w:rFonts w:ascii="Cambria Math" w:eastAsia="Times New Roman" w:hAnsi="Cambria Math" w:cs="Times New Roman"/>
              <w:sz w:val="24"/>
              <w:szCs w:val="24"/>
            </w:rPr>
            <m:t xml:space="preserve"> = PD</m:t>
          </m:r>
          <m:sSub>
            <m:sSubPr>
              <m:ctrlPr>
                <w:rPr>
                  <w:rFonts w:ascii="Cambria Math" w:eastAsia="Times New Roman" w:hAnsi="Cambria Math" w:cs="Times New Roman"/>
                  <w:i/>
                  <w:sz w:val="24"/>
                  <w:szCs w:val="24"/>
                </w:rPr>
              </m:ctrlPr>
            </m:sSubPr>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m:t>
                  </m:r>
                </m:e>
              </m:d>
            </m:e>
            <m:sub>
              <m:r>
                <w:rPr>
                  <w:rFonts w:ascii="Cambria Math" w:eastAsia="Times New Roman" w:hAnsi="Cambria Math" w:cs="Times New Roman"/>
                  <w:sz w:val="24"/>
                  <w:szCs w:val="24"/>
                </w:rPr>
                <m:t>A</m:t>
              </m:r>
              <m:r>
                <w:rPr>
                  <w:rFonts w:ascii="Cambria Math" w:eastAsia="Times New Roman" w:hAnsi="Cambria Math" w:cs="Times New Roman"/>
                  <w:sz w:val="24"/>
                  <w:szCs w:val="24"/>
                </w:rPr>
                <m:t>cum</m:t>
              </m:r>
            </m:sub>
          </m:sSub>
          <m:r>
            <w:rPr>
              <w:rFonts w:ascii="Cambria Math" w:eastAsia="Times New Roman" w:hAnsi="Cambria Math" w:cs="Times New Roman"/>
              <w:sz w:val="24"/>
              <w:szCs w:val="24"/>
            </w:rPr>
            <m:t xml:space="preserve"> *  </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e</m:t>
              </m:r>
            </m:e>
            <m:sup>
              <m:r>
                <w:rPr>
                  <w:rFonts w:ascii="Cambria Math" w:eastAsia="Times New Roman" w:hAnsi="Cambria Math" w:cs="Times New Roman"/>
                  <w:sz w:val="24"/>
                  <w:szCs w:val="24"/>
                </w:rPr>
                <m:t>- m</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8</m:t>
                  </m:r>
                </m:sub>
              </m:sSub>
              <m:r>
                <w:rPr>
                  <w:rFonts w:ascii="Cambria Math" w:eastAsia="Times New Roman" w:hAnsi="Cambria Math" w:cs="Times New Roman"/>
                  <w:sz w:val="24"/>
                  <w:szCs w:val="24"/>
                </w:rPr>
                <m:t xml:space="preserve">* </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n</m:t>
                  </m:r>
                </m:e>
              </m:d>
            </m:sup>
          </m:sSup>
        </m:oMath>
      </m:oMathPara>
    </w:p>
    <w:p w14:paraId="079014B7" w14:textId="4632D374" w:rsidR="00122F7F" w:rsidRDefault="00122F7F" w:rsidP="00EA4C1F">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Donde:</w:t>
      </w:r>
    </w:p>
    <w:p w14:paraId="53349A8E" w14:textId="7246AA99" w:rsidR="00122F7F" w:rsidRPr="00820C22" w:rsidRDefault="00122F7F" w:rsidP="00122F7F">
      <w:pPr>
        <w:pStyle w:val="ListParagraph"/>
        <w:numPr>
          <w:ilvl w:val="0"/>
          <w:numId w:val="9"/>
        </w:numPr>
        <w:spacing w:before="240" w:after="240" w:line="480" w:lineRule="auto"/>
        <w:jc w:val="both"/>
        <w:rPr>
          <w:rFonts w:ascii="Times New Roman" w:eastAsia="Times New Roman" w:hAnsi="Times New Roman" w:cs="Times New Roman"/>
          <w:sz w:val="24"/>
          <w:szCs w:val="24"/>
          <w:lang w:val="es-ES"/>
        </w:rPr>
      </w:pPr>
      <m:oMath>
        <m:r>
          <w:rPr>
            <w:rFonts w:ascii="Cambria Math" w:eastAsia="Times New Roman" w:hAnsi="Cambria Math" w:cs="Times New Roman"/>
            <w:sz w:val="24"/>
            <w:szCs w:val="24"/>
          </w:rPr>
          <m:t>mu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m:t>
            </m:r>
          </m:e>
        </m:d>
      </m:oMath>
      <w:r>
        <w:rPr>
          <w:rFonts w:ascii="Times New Roman" w:eastAsia="Times New Roman" w:hAnsi="Times New Roman" w:cs="Times New Roman"/>
          <w:sz w:val="24"/>
          <w:szCs w:val="24"/>
        </w:rPr>
        <w:t xml:space="preserve"> es la tasa instantánea de default para el momento “</w:t>
      </w:r>
      <w:r>
        <w:rPr>
          <w:rFonts w:ascii="Times New Roman" w:eastAsia="Times New Roman" w:hAnsi="Times New Roman" w:cs="Times New Roman"/>
          <w:sz w:val="24"/>
          <w:szCs w:val="24"/>
        </w:rPr>
        <w:t>8</w:t>
      </w:r>
      <w:r>
        <w:rPr>
          <w:rFonts w:ascii="Times New Roman" w:eastAsia="Times New Roman" w:hAnsi="Times New Roman" w:cs="Times New Roman"/>
          <w:sz w:val="24"/>
          <w:szCs w:val="24"/>
        </w:rPr>
        <w:t>”</w:t>
      </w:r>
    </w:p>
    <w:p w14:paraId="241A2BB4" w14:textId="4746BCD2" w:rsidR="00122F7F" w:rsidRPr="00122F7F" w:rsidRDefault="00122F7F" w:rsidP="00122F7F">
      <w:pPr>
        <w:pStyle w:val="ListParagraph"/>
        <w:numPr>
          <w:ilvl w:val="0"/>
          <w:numId w:val="9"/>
        </w:numPr>
        <w:spacing w:before="240" w:after="240" w:line="480" w:lineRule="auto"/>
        <w:jc w:val="both"/>
        <w:rPr>
          <w:rFonts w:ascii="Times New Roman" w:eastAsia="Times New Roman" w:hAnsi="Times New Roman" w:cs="Times New Roman"/>
          <w:sz w:val="24"/>
          <w:szCs w:val="24"/>
          <w:lang w:val="es-ES"/>
        </w:rPr>
      </w:pPr>
      <m:oMath>
        <m:r>
          <w:rPr>
            <w:rFonts w:ascii="Cambria Math" w:eastAsia="Times New Roman" w:hAnsi="Cambria Math" w:cs="Times New Roman"/>
            <w:sz w:val="24"/>
            <w:szCs w:val="24"/>
          </w:rPr>
          <m:t>PD</m:t>
        </m:r>
        <m:sSub>
          <m:sSubPr>
            <m:ctrlPr>
              <w:rPr>
                <w:rFonts w:ascii="Cambria Math" w:eastAsia="Times New Roman" w:hAnsi="Cambria Math" w:cs="Times New Roman"/>
                <w:i/>
                <w:sz w:val="24"/>
                <w:szCs w:val="24"/>
              </w:rPr>
            </m:ctrlPr>
          </m:sSubPr>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m:t>
                </m:r>
              </m:e>
            </m:d>
          </m:e>
          <m:sub>
            <m:r>
              <w:rPr>
                <w:rFonts w:ascii="Cambria Math" w:eastAsia="Times New Roman" w:hAnsi="Cambria Math" w:cs="Times New Roman"/>
                <w:sz w:val="24"/>
                <w:szCs w:val="24"/>
              </w:rPr>
              <m:t>A</m:t>
            </m:r>
            <m:r>
              <w:rPr>
                <w:rFonts w:ascii="Cambria Math" w:eastAsia="Times New Roman" w:hAnsi="Cambria Math" w:cs="Times New Roman"/>
                <w:sz w:val="24"/>
                <w:szCs w:val="24"/>
              </w:rPr>
              <m:t>cum</m:t>
            </m:r>
          </m:sub>
        </m:sSub>
      </m:oMath>
      <w:r>
        <w:rPr>
          <w:rFonts w:ascii="Times New Roman" w:eastAsia="Times New Roman" w:hAnsi="Times New Roman" w:cs="Times New Roman"/>
          <w:sz w:val="24"/>
          <w:szCs w:val="24"/>
        </w:rPr>
        <w:t xml:space="preserve"> es la probabilidad de default acumulada al momento “</w:t>
      </w:r>
      <w:r>
        <w:rPr>
          <w:rFonts w:ascii="Times New Roman" w:eastAsia="Times New Roman" w:hAnsi="Times New Roman" w:cs="Times New Roman"/>
          <w:sz w:val="24"/>
          <w:szCs w:val="24"/>
        </w:rPr>
        <w:t>8</w:t>
      </w:r>
      <w:r>
        <w:rPr>
          <w:rFonts w:ascii="Times New Roman" w:eastAsia="Times New Roman" w:hAnsi="Times New Roman" w:cs="Times New Roman"/>
          <w:sz w:val="24"/>
          <w:szCs w:val="24"/>
        </w:rPr>
        <w:t>”</w:t>
      </w:r>
    </w:p>
    <w:p w14:paraId="02484CBD" w14:textId="5A618740" w:rsidR="00122F7F" w:rsidRPr="00122F7F" w:rsidRDefault="00122F7F" w:rsidP="00EA4C1F">
      <w:pPr>
        <w:pStyle w:val="ListParagraph"/>
        <w:numPr>
          <w:ilvl w:val="0"/>
          <w:numId w:val="9"/>
        </w:numPr>
        <w:spacing w:before="240" w:after="240" w:line="480" w:lineRule="auto"/>
        <w:jc w:val="both"/>
        <w:rPr>
          <w:rFonts w:ascii="Times New Roman" w:eastAsia="Times New Roman" w:hAnsi="Times New Roman" w:cs="Times New Roman"/>
          <w:sz w:val="24"/>
          <w:szCs w:val="24"/>
          <w:lang w:val="es-ES"/>
        </w:rPr>
      </w:pPr>
      <m:oMath>
        <m:r>
          <w:rPr>
            <w:rFonts w:ascii="Cambria Math" w:eastAsia="Times New Roman" w:hAnsi="Cambria Math" w:cs="Times New Roman"/>
            <w:sz w:val="24"/>
            <w:szCs w:val="24"/>
            <w:lang w:val="en-US"/>
          </w:rPr>
          <m:t>PD</m:t>
        </m:r>
        <m:sSub>
          <m:sSubPr>
            <m:ctrlPr>
              <w:rPr>
                <w:rFonts w:ascii="Cambria Math" w:eastAsia="Times New Roman" w:hAnsi="Cambria Math" w:cs="Times New Roman"/>
                <w:i/>
                <w:sz w:val="24"/>
                <w:szCs w:val="24"/>
                <w:lang w:val="en-US"/>
              </w:rPr>
            </m:ctrlPr>
          </m:sSubPr>
          <m:e>
            <m:d>
              <m:dPr>
                <m:ctrlPr>
                  <w:rPr>
                    <w:rFonts w:ascii="Cambria Math" w:eastAsia="Times New Roman" w:hAnsi="Cambria Math" w:cs="Times New Roman"/>
                    <w:i/>
                    <w:sz w:val="24"/>
                    <w:szCs w:val="24"/>
                    <w:lang w:val="en-US"/>
                  </w:rPr>
                </m:ctrlPr>
              </m:dPr>
              <m:e>
                <m:r>
                  <w:rPr>
                    <w:rFonts w:ascii="Cambria Math" w:eastAsia="Times New Roman" w:hAnsi="Cambria Math" w:cs="Times New Roman"/>
                    <w:sz w:val="24"/>
                    <w:szCs w:val="24"/>
                    <w:lang w:val="es-ES"/>
                  </w:rPr>
                  <m:t>8</m:t>
                </m:r>
                <m:r>
                  <w:rPr>
                    <w:rFonts w:ascii="Cambria Math" w:eastAsia="Times New Roman" w:hAnsi="Cambria Math" w:cs="Times New Roman"/>
                    <w:sz w:val="24"/>
                    <w:szCs w:val="24"/>
                    <w:lang w:val="es-ES"/>
                  </w:rPr>
                  <m:t>+</m:t>
                </m:r>
                <m:r>
                  <w:rPr>
                    <w:rFonts w:ascii="Cambria Math" w:eastAsia="Times New Roman" w:hAnsi="Cambria Math" w:cs="Times New Roman"/>
                    <w:sz w:val="24"/>
                    <w:szCs w:val="24"/>
                    <w:lang w:val="en-US"/>
                  </w:rPr>
                  <m:t>n</m:t>
                </m:r>
              </m:e>
            </m:d>
          </m:e>
          <m:sub>
            <m:r>
              <w:rPr>
                <w:rFonts w:ascii="Cambria Math" w:eastAsia="Times New Roman" w:hAnsi="Cambria Math" w:cs="Times New Roman"/>
                <w:sz w:val="24"/>
                <w:szCs w:val="24"/>
                <w:lang w:val="en-US"/>
              </w:rPr>
              <m:t>Acum</m:t>
            </m:r>
          </m:sub>
        </m:sSub>
      </m:oMath>
      <w:r w:rsidRPr="00122F7F">
        <w:rPr>
          <w:rFonts w:ascii="Times New Roman" w:eastAsia="Times New Roman" w:hAnsi="Times New Roman" w:cs="Times New Roman"/>
          <w:sz w:val="24"/>
          <w:szCs w:val="24"/>
        </w:rPr>
        <w:t xml:space="preserve"> es la probabilidad de default acumulada al momento “</w:t>
      </w:r>
      <w:r w:rsidRPr="00122F7F">
        <w:rPr>
          <w:rFonts w:ascii="Times New Roman" w:eastAsia="Times New Roman" w:hAnsi="Times New Roman" w:cs="Times New Roman"/>
          <w:sz w:val="24"/>
          <w:szCs w:val="24"/>
        </w:rPr>
        <w:t>8</w:t>
      </w:r>
      <w:r w:rsidRPr="00122F7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sumado al periodo “n”</w:t>
      </w:r>
    </w:p>
    <w:p w14:paraId="00000108" w14:textId="6A8E8740"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Obteniendo así una curva de probabilidades de default monótonas para todo</w:t>
      </w:r>
      <w:r w:rsidR="00122F7F">
        <w:rPr>
          <w:rFonts w:ascii="Times New Roman" w:eastAsia="Times New Roman" w:hAnsi="Times New Roman" w:cs="Times New Roman"/>
          <w:sz w:val="24"/>
          <w:szCs w:val="24"/>
        </w:rPr>
        <w:t>s</w:t>
      </w:r>
      <w:r w:rsidRPr="00EA4C1F">
        <w:rPr>
          <w:rFonts w:ascii="Times New Roman" w:eastAsia="Times New Roman" w:hAnsi="Times New Roman" w:cs="Times New Roman"/>
          <w:sz w:val="24"/>
          <w:szCs w:val="24"/>
        </w:rPr>
        <w:t xml:space="preserve"> los periodos.</w:t>
      </w:r>
    </w:p>
    <w:p w14:paraId="00000109" w14:textId="1EAE6293"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Siguiendo con la confección de la prima de riesgo de crédito, al nivelar los flujos del bono, estos decrecen y la </w:t>
      </w:r>
      <w:proofErr w:type="spellStart"/>
      <w:r w:rsidRPr="00EA4C1F">
        <w:rPr>
          <w:rFonts w:ascii="Times New Roman" w:eastAsia="Times New Roman" w:hAnsi="Times New Roman" w:cs="Times New Roman"/>
          <w:sz w:val="24"/>
          <w:szCs w:val="24"/>
        </w:rPr>
        <w:t>TiR</w:t>
      </w:r>
      <w:proofErr w:type="spellEnd"/>
      <w:r w:rsidRPr="00EA4C1F">
        <w:rPr>
          <w:rFonts w:ascii="Times New Roman" w:eastAsia="Times New Roman" w:hAnsi="Times New Roman" w:cs="Times New Roman"/>
          <w:sz w:val="24"/>
          <w:szCs w:val="24"/>
        </w:rPr>
        <w:t xml:space="preserve"> se nivela con el valor de mercado que tiene el riesgo incorporado. La diferencia entre esta nueva </w:t>
      </w:r>
      <w:proofErr w:type="spellStart"/>
      <w:r w:rsidRPr="00EA4C1F">
        <w:rPr>
          <w:rFonts w:ascii="Times New Roman" w:eastAsia="Times New Roman" w:hAnsi="Times New Roman" w:cs="Times New Roman"/>
          <w:sz w:val="24"/>
          <w:szCs w:val="24"/>
        </w:rPr>
        <w:t>TiR</w:t>
      </w:r>
      <w:proofErr w:type="spellEnd"/>
      <w:r w:rsidRPr="00EA4C1F">
        <w:rPr>
          <w:rFonts w:ascii="Times New Roman" w:eastAsia="Times New Roman" w:hAnsi="Times New Roman" w:cs="Times New Roman"/>
          <w:sz w:val="24"/>
          <w:szCs w:val="24"/>
        </w:rPr>
        <w:t xml:space="preserve"> y la </w:t>
      </w:r>
      <w:proofErr w:type="spellStart"/>
      <w:r w:rsidRPr="00EA4C1F">
        <w:rPr>
          <w:rFonts w:ascii="Times New Roman" w:eastAsia="Times New Roman" w:hAnsi="Times New Roman" w:cs="Times New Roman"/>
          <w:sz w:val="24"/>
          <w:szCs w:val="24"/>
        </w:rPr>
        <w:t>TiR</w:t>
      </w:r>
      <w:proofErr w:type="spellEnd"/>
      <w:r w:rsidRPr="00EA4C1F">
        <w:rPr>
          <w:rFonts w:ascii="Times New Roman" w:eastAsia="Times New Roman" w:hAnsi="Times New Roman" w:cs="Times New Roman"/>
          <w:sz w:val="24"/>
          <w:szCs w:val="24"/>
        </w:rPr>
        <w:t xml:space="preserve"> del bono es la prima por riesgo de crédito que se debe sustraer de nuestra curva para que sea un proxy para una curva libre de riesgo. Sin embargo, al no contarse con una curva completa, se debe realizar métodos de interpolación y extrapolación para cubrir todos los periodos de pagos. Esto se hace a través del método Nelson-Siegel, el cual propone ajustar los valores de mercado y los cash </w:t>
      </w:r>
      <w:proofErr w:type="spellStart"/>
      <w:r w:rsidRPr="00EA4C1F">
        <w:rPr>
          <w:rFonts w:ascii="Times New Roman" w:eastAsia="Times New Roman" w:hAnsi="Times New Roman" w:cs="Times New Roman"/>
          <w:sz w:val="24"/>
          <w:szCs w:val="24"/>
        </w:rPr>
        <w:t>flows</w:t>
      </w:r>
      <w:proofErr w:type="spellEnd"/>
      <w:r w:rsidRPr="00EA4C1F">
        <w:rPr>
          <w:rFonts w:ascii="Times New Roman" w:eastAsia="Times New Roman" w:hAnsi="Times New Roman" w:cs="Times New Roman"/>
          <w:sz w:val="24"/>
          <w:szCs w:val="24"/>
        </w:rPr>
        <w:t xml:space="preserve">, a una curva paramétrica de tasas de interés mediante la regresión lineal de la siguiente fórmula: </w:t>
      </w:r>
    </w:p>
    <w:p w14:paraId="0000010A" w14:textId="08F48D6B" w:rsidR="00E6009A" w:rsidRPr="009F2A6A" w:rsidRDefault="004C61CD" w:rsidP="00EA4C1F">
      <w:pPr>
        <w:spacing w:before="240" w:after="240" w:line="480" w:lineRule="auto"/>
        <w:jc w:val="both"/>
        <w:rPr>
          <w:rFonts w:ascii="Times New Roman" w:eastAsia="Times New Roman" w:hAnsi="Times New Roman" w:cs="Times New Roman"/>
          <w:sz w:val="24"/>
          <w:szCs w:val="24"/>
        </w:rPr>
      </w:pPr>
      <m:oMathPara>
        <m:oMath>
          <m:sSub>
            <m:sSubPr>
              <m:ctrlPr>
                <w:rPr>
                  <w:rFonts w:ascii="Cambria Math" w:eastAsia="Times New Roman" w:hAnsi="Cambria Math" w:cs="Times New Roman"/>
                  <w:sz w:val="24"/>
                  <w:szCs w:val="24"/>
                </w:rPr>
              </m:ctrlPr>
            </m:sSubPr>
            <m:e>
              <m:r>
                <m:rPr>
                  <m:sty m:val="p"/>
                </m:rPr>
                <w:rPr>
                  <w:rFonts w:ascii="Cambria Math" w:eastAsia="Times New Roman" w:hAnsi="Cambria Math" w:cs="Times New Roman"/>
                  <w:sz w:val="24"/>
                  <w:szCs w:val="24"/>
                </w:rPr>
                <m:t>YTM</m:t>
              </m:r>
            </m:e>
            <m:sub>
              <m:r>
                <m:rPr>
                  <m:sty m:val="p"/>
                </m:rPr>
                <w:rPr>
                  <w:rFonts w:ascii="Cambria Math" w:eastAsia="Times New Roman" w:hAnsi="Cambria Math" w:cs="Times New Roman"/>
                  <w:sz w:val="24"/>
                  <w:szCs w:val="24"/>
                </w:rPr>
                <m:t>m</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β</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β</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f>
                <m:fPr>
                  <m:ctrlPr>
                    <w:rPr>
                      <w:rFonts w:ascii="Cambria Math" w:eastAsia="Times New Roman" w:hAnsi="Cambria Math" w:cs="Times New Roman"/>
                      <w:sz w:val="24"/>
                      <w:szCs w:val="24"/>
                    </w:rPr>
                  </m:ctrlPr>
                </m:fPr>
                <m:num>
                  <m:r>
                    <w:rPr>
                      <w:rFonts w:ascii="Cambria Math" w:eastAsia="Times New Roman" w:hAnsi="Cambria Math" w:cs="Times New Roman"/>
                      <w:sz w:val="24"/>
                      <w:szCs w:val="24"/>
                    </w:rPr>
                    <m:t>1-</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e</m:t>
                      </m:r>
                    </m:e>
                    <m:sup>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λ</m:t>
                          </m:r>
                        </m:e>
                        <m:sub>
                          <m:r>
                            <w:rPr>
                              <w:rFonts w:ascii="Cambria Math" w:eastAsia="Times New Roman" w:hAnsi="Cambria Math" w:cs="Times New Roman"/>
                              <w:sz w:val="24"/>
                              <w:szCs w:val="24"/>
                            </w:rPr>
                            <m:t>m</m:t>
                          </m:r>
                        </m:sub>
                      </m:sSub>
                    </m:sup>
                  </m:sSup>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λ</m:t>
                      </m:r>
                    </m:e>
                    <m:sub>
                      <m:r>
                        <w:rPr>
                          <w:rFonts w:ascii="Cambria Math" w:eastAsia="Times New Roman" w:hAnsi="Cambria Math" w:cs="Times New Roman"/>
                          <w:sz w:val="24"/>
                          <w:szCs w:val="24"/>
                        </w:rPr>
                        <m:t>m</m:t>
                      </m:r>
                    </m:sub>
                  </m:sSub>
                </m:den>
              </m:f>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β</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f>
                <m:fPr>
                  <m:ctrlPr>
                    <w:rPr>
                      <w:rFonts w:ascii="Cambria Math" w:eastAsia="Times New Roman" w:hAnsi="Cambria Math" w:cs="Times New Roman"/>
                      <w:sz w:val="24"/>
                      <w:szCs w:val="24"/>
                    </w:rPr>
                  </m:ctrlPr>
                </m:fPr>
                <m:num>
                  <m:r>
                    <w:rPr>
                      <w:rFonts w:ascii="Cambria Math" w:eastAsia="Times New Roman" w:hAnsi="Cambria Math" w:cs="Times New Roman"/>
                      <w:sz w:val="24"/>
                      <w:szCs w:val="24"/>
                    </w:rPr>
                    <m:t>1-</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e</m:t>
                      </m:r>
                    </m:e>
                    <m:sup>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λ</m:t>
                          </m:r>
                        </m:e>
                        <m:sub>
                          <m:r>
                            <w:rPr>
                              <w:rFonts w:ascii="Cambria Math" w:eastAsia="Times New Roman" w:hAnsi="Cambria Math" w:cs="Times New Roman"/>
                              <w:sz w:val="24"/>
                              <w:szCs w:val="24"/>
                            </w:rPr>
                            <m:t>m</m:t>
                          </m:r>
                        </m:sub>
                      </m:sSub>
                    </m:sup>
                  </m:sSup>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λ</m:t>
                      </m:r>
                    </m:e>
                    <m:sub>
                      <m:r>
                        <w:rPr>
                          <w:rFonts w:ascii="Cambria Math" w:eastAsia="Times New Roman" w:hAnsi="Cambria Math" w:cs="Times New Roman"/>
                          <w:sz w:val="24"/>
                          <w:szCs w:val="24"/>
                        </w:rPr>
                        <m:t>m</m:t>
                      </m:r>
                    </m:sub>
                  </m:sSub>
                </m:den>
              </m:f>
              <m:r>
                <w:rPr>
                  <w:rFonts w:ascii="Cambria Math" w:eastAsia="Times New Roman" w:hAnsi="Cambria Math" w:cs="Times New Roman"/>
                  <w:sz w:val="24"/>
                  <w:szCs w:val="24"/>
                </w:rPr>
                <m:t xml:space="preserve">- </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e</m:t>
                  </m:r>
                </m:e>
                <m:sup>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λ</m:t>
                      </m:r>
                    </m:e>
                    <m:sub>
                      <m:r>
                        <w:rPr>
                          <w:rFonts w:ascii="Cambria Math" w:eastAsia="Times New Roman" w:hAnsi="Cambria Math" w:cs="Times New Roman"/>
                          <w:sz w:val="24"/>
                          <w:szCs w:val="24"/>
                        </w:rPr>
                        <m:t>m</m:t>
                      </m:r>
                    </m:sub>
                  </m:sSub>
                </m:sup>
              </m:sSup>
            </m:e>
          </m:d>
        </m:oMath>
      </m:oMathPara>
    </w:p>
    <w:p w14:paraId="7D61200B" w14:textId="77777777" w:rsidR="009F2A6A" w:rsidRPr="00EA4C1F" w:rsidRDefault="009F2A6A" w:rsidP="00EA4C1F">
      <w:pPr>
        <w:spacing w:before="240" w:after="240" w:line="480" w:lineRule="auto"/>
        <w:jc w:val="both"/>
        <w:rPr>
          <w:rFonts w:ascii="Times New Roman" w:eastAsia="Times New Roman" w:hAnsi="Times New Roman" w:cs="Times New Roman"/>
          <w:sz w:val="24"/>
          <w:szCs w:val="24"/>
        </w:rPr>
      </w:pPr>
    </w:p>
    <w:p w14:paraId="0000010B" w14:textId="77777777"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Donde: </w:t>
      </w:r>
    </w:p>
    <w:p w14:paraId="0000010D" w14:textId="4BEB1E73" w:rsidR="00E6009A" w:rsidRDefault="009F2A6A" w:rsidP="009F2A6A">
      <w:pPr>
        <w:numPr>
          <w:ilvl w:val="0"/>
          <w:numId w:val="1"/>
        </w:numPr>
        <w:spacing w:before="240" w:after="0" w:line="480" w:lineRule="auto"/>
        <w:jc w:val="both"/>
        <w:rPr>
          <w:rFonts w:ascii="Times New Roman" w:eastAsia="Times New Roman" w:hAnsi="Times New Roman" w:cs="Times New Roman"/>
          <w:sz w:val="24"/>
          <w:szCs w:val="24"/>
        </w:rPr>
      </w:pP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β</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β</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β</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 xml:space="preserve"> y </m:t>
        </m:r>
        <m:r>
          <w:rPr>
            <w:rFonts w:ascii="Cambria Math" w:eastAsia="Times New Roman" w:hAnsi="Cambria Math" w:cs="Times New Roman"/>
            <w:sz w:val="24"/>
            <w:szCs w:val="24"/>
          </w:rPr>
          <m:t>λ</m:t>
        </m:r>
        <m:r>
          <w:rPr>
            <w:rFonts w:ascii="Cambria Math" w:eastAsia="Times New Roman" w:hAnsi="Cambria Math" w:cs="Times New Roman"/>
            <w:sz w:val="24"/>
            <w:szCs w:val="24"/>
          </w:rPr>
          <m:t xml:space="preserve"> </m:t>
        </m:r>
      </m:oMath>
      <w:r>
        <w:rPr>
          <w:rFonts w:ascii="Times New Roman" w:eastAsia="Times New Roman" w:hAnsi="Times New Roman" w:cs="Times New Roman"/>
          <w:sz w:val="24"/>
          <w:szCs w:val="24"/>
        </w:rPr>
        <w:t xml:space="preserve"> </w:t>
      </w:r>
      <w:r w:rsidRPr="00EA4C1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son parámetros que estimar.</w:t>
      </w:r>
    </w:p>
    <w:p w14:paraId="5A6A171A" w14:textId="77777777" w:rsidR="009F2A6A" w:rsidRPr="009F2A6A" w:rsidRDefault="009F2A6A" w:rsidP="009F2A6A">
      <w:pPr>
        <w:numPr>
          <w:ilvl w:val="0"/>
          <w:numId w:val="1"/>
        </w:numPr>
        <w:spacing w:before="240" w:after="0" w:line="480" w:lineRule="auto"/>
        <w:jc w:val="both"/>
        <w:rPr>
          <w:rFonts w:ascii="Times New Roman" w:eastAsia="Times New Roman" w:hAnsi="Times New Roman" w:cs="Times New Roman"/>
          <w:sz w:val="24"/>
          <w:szCs w:val="24"/>
        </w:rPr>
      </w:pPr>
    </w:p>
    <w:p w14:paraId="0000010E" w14:textId="77777777"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Finalmente, una vez obtenida la curva para todos los periodos, se aplicará como factor de descuento al patrón de pagos de la siguiente forma, teniendo así, un flujo descontado de pagos:</w:t>
      </w:r>
    </w:p>
    <w:p w14:paraId="0000010F"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[Formula.]</w:t>
      </w:r>
    </w:p>
    <w:p w14:paraId="00000110" w14:textId="77777777" w:rsidR="00E6009A" w:rsidRPr="00EA4C1F" w:rsidRDefault="00E6009A" w:rsidP="00EA4C1F">
      <w:pPr>
        <w:jc w:val="both"/>
        <w:rPr>
          <w:rFonts w:ascii="Times New Roman" w:hAnsi="Times New Roman" w:cs="Times New Roman"/>
        </w:rPr>
      </w:pPr>
    </w:p>
    <w:bookmarkStart w:id="56" w:name="_heading=h.az4ae84ewh98" w:colFirst="0" w:colLast="0"/>
    <w:bookmarkEnd w:id="56"/>
    <w:p w14:paraId="00000111" w14:textId="77777777" w:rsidR="00E6009A" w:rsidRPr="00EA4C1F" w:rsidRDefault="00000000" w:rsidP="00EA4C1F">
      <w:pPr>
        <w:pStyle w:val="Heading3"/>
        <w:numPr>
          <w:ilvl w:val="2"/>
          <w:numId w:val="3"/>
        </w:numPr>
        <w:ind w:hanging="360"/>
        <w:jc w:val="both"/>
        <w:rPr>
          <w:rFonts w:ascii="Times New Roman" w:hAnsi="Times New Roman" w:cs="Times New Roman"/>
        </w:rPr>
      </w:pPr>
      <w:sdt>
        <w:sdtPr>
          <w:rPr>
            <w:rFonts w:ascii="Times New Roman" w:hAnsi="Times New Roman" w:cs="Times New Roman"/>
          </w:rPr>
          <w:tag w:val="goog_rdk_29"/>
          <w:id w:val="1409443972"/>
        </w:sdtPr>
        <w:sdtContent>
          <w:commentRangeStart w:id="57"/>
        </w:sdtContent>
      </w:sdt>
      <w:sdt>
        <w:sdtPr>
          <w:rPr>
            <w:rFonts w:ascii="Times New Roman" w:hAnsi="Times New Roman" w:cs="Times New Roman"/>
          </w:rPr>
          <w:tag w:val="goog_rdk_30"/>
          <w:id w:val="-1959594465"/>
        </w:sdtPr>
        <w:sdtContent>
          <w:commentRangeStart w:id="58"/>
        </w:sdtContent>
      </w:sdt>
      <w:sdt>
        <w:sdtPr>
          <w:rPr>
            <w:rFonts w:ascii="Times New Roman" w:hAnsi="Times New Roman" w:cs="Times New Roman"/>
          </w:rPr>
          <w:tag w:val="goog_rdk_31"/>
          <w:id w:val="1511776070"/>
        </w:sdtPr>
        <w:sdtContent>
          <w:commentRangeStart w:id="59"/>
        </w:sdtContent>
      </w:sdt>
      <w:r w:rsidRPr="00EA4C1F">
        <w:rPr>
          <w:rFonts w:ascii="Times New Roman" w:hAnsi="Times New Roman" w:cs="Times New Roman"/>
        </w:rPr>
        <w:t>Ajuste de riesgo No Financiero</w:t>
      </w:r>
      <w:commentRangeEnd w:id="57"/>
      <w:r w:rsidRPr="00EA4C1F">
        <w:rPr>
          <w:rFonts w:ascii="Times New Roman" w:hAnsi="Times New Roman" w:cs="Times New Roman"/>
        </w:rPr>
        <w:commentReference w:id="57"/>
      </w:r>
      <w:commentRangeEnd w:id="58"/>
      <w:r w:rsidRPr="00EA4C1F">
        <w:rPr>
          <w:rFonts w:ascii="Times New Roman" w:hAnsi="Times New Roman" w:cs="Times New Roman"/>
        </w:rPr>
        <w:commentReference w:id="58"/>
      </w:r>
      <w:commentRangeEnd w:id="59"/>
      <w:r w:rsidRPr="00EA4C1F">
        <w:rPr>
          <w:rFonts w:ascii="Times New Roman" w:hAnsi="Times New Roman" w:cs="Times New Roman"/>
        </w:rPr>
        <w:commentReference w:id="59"/>
      </w:r>
    </w:p>
    <w:p w14:paraId="00000112" w14:textId="77777777" w:rsidR="00E6009A" w:rsidRPr="00EA4C1F" w:rsidRDefault="00E6009A" w:rsidP="00EA4C1F">
      <w:pPr>
        <w:jc w:val="both"/>
        <w:rPr>
          <w:rFonts w:ascii="Times New Roman" w:hAnsi="Times New Roman" w:cs="Times New Roman"/>
        </w:rPr>
      </w:pPr>
    </w:p>
    <w:p w14:paraId="00000113" w14:textId="77777777"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Como último paso para la medición del pasivo, se calculará el ajuste por riesgo no financiero que representa el riesgo que asume la entidad ante la incertidumbre de los flujos futuros de la cartera de seguros. En este trabajo, el ajuste por riesgo se limita al riesgo de siniestro, es decir, el desvío en frecuencia y severidad capturada por el modelo de estimación. Adicionalmente, para esta sección, no se extrapolan las colas del desarrollo de siniestros, ya que se busca observar una distribución empírica.</w:t>
      </w:r>
    </w:p>
    <w:p w14:paraId="00000114" w14:textId="77777777"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Se considerarán medidas de riesgo de la distribución de IBNR por percentil para aproximar el ajuste, en particular, </w:t>
      </w:r>
      <w:proofErr w:type="spellStart"/>
      <w:r w:rsidRPr="00EA4C1F">
        <w:rPr>
          <w:rFonts w:ascii="Times New Roman" w:eastAsia="Times New Roman" w:hAnsi="Times New Roman" w:cs="Times New Roman"/>
          <w:sz w:val="24"/>
          <w:szCs w:val="24"/>
        </w:rPr>
        <w:t>Value</w:t>
      </w:r>
      <w:proofErr w:type="spellEnd"/>
      <w:r w:rsidRPr="00EA4C1F">
        <w:rPr>
          <w:rFonts w:ascii="Times New Roman" w:eastAsia="Times New Roman" w:hAnsi="Times New Roman" w:cs="Times New Roman"/>
          <w:sz w:val="24"/>
          <w:szCs w:val="24"/>
        </w:rPr>
        <w:t xml:space="preserve"> at Risk (de ahora en </w:t>
      </w:r>
      <w:proofErr w:type="spellStart"/>
      <w:r w:rsidRPr="00EA4C1F">
        <w:rPr>
          <w:rFonts w:ascii="Times New Roman" w:eastAsia="Times New Roman" w:hAnsi="Times New Roman" w:cs="Times New Roman"/>
          <w:sz w:val="24"/>
          <w:szCs w:val="24"/>
        </w:rPr>
        <w:t>mas</w:t>
      </w:r>
      <w:proofErr w:type="spellEnd"/>
      <w:r w:rsidRPr="00EA4C1F">
        <w:rPr>
          <w:rFonts w:ascii="Times New Roman" w:eastAsia="Times New Roman" w:hAnsi="Times New Roman" w:cs="Times New Roman"/>
          <w:sz w:val="24"/>
          <w:szCs w:val="24"/>
        </w:rPr>
        <w:t xml:space="preserve">, VaR) y Tail </w:t>
      </w:r>
      <w:proofErr w:type="spellStart"/>
      <w:r w:rsidRPr="00EA4C1F">
        <w:rPr>
          <w:rFonts w:ascii="Times New Roman" w:eastAsia="Times New Roman" w:hAnsi="Times New Roman" w:cs="Times New Roman"/>
          <w:sz w:val="24"/>
          <w:szCs w:val="24"/>
        </w:rPr>
        <w:t>Value</w:t>
      </w:r>
      <w:proofErr w:type="spellEnd"/>
      <w:r w:rsidRPr="00EA4C1F">
        <w:rPr>
          <w:rFonts w:ascii="Times New Roman" w:eastAsia="Times New Roman" w:hAnsi="Times New Roman" w:cs="Times New Roman"/>
          <w:sz w:val="24"/>
          <w:szCs w:val="24"/>
        </w:rPr>
        <w:t xml:space="preserve"> at Risk (de ahora en más, </w:t>
      </w:r>
      <w:proofErr w:type="spellStart"/>
      <w:r w:rsidRPr="00EA4C1F">
        <w:rPr>
          <w:rFonts w:ascii="Times New Roman" w:eastAsia="Times New Roman" w:hAnsi="Times New Roman" w:cs="Times New Roman"/>
          <w:sz w:val="24"/>
          <w:szCs w:val="24"/>
        </w:rPr>
        <w:t>TVar</w:t>
      </w:r>
      <w:proofErr w:type="spellEnd"/>
      <w:r w:rsidRPr="00EA4C1F">
        <w:rPr>
          <w:rFonts w:ascii="Times New Roman" w:eastAsia="Times New Roman" w:hAnsi="Times New Roman" w:cs="Times New Roman"/>
          <w:sz w:val="24"/>
          <w:szCs w:val="24"/>
        </w:rPr>
        <w:t>) así como diferentes formas de construir dichas distribuciones de acuerdo con las características que presenta el triángulo de siniestros. En todos los casos, el ajuste por riesgo se define como la diferencia entre una medida de cola de la distribución y el valor esperado del pasivo.</w:t>
      </w:r>
    </w:p>
    <w:p w14:paraId="00000115" w14:textId="77777777" w:rsidR="00E6009A" w:rsidRPr="00EA4C1F" w:rsidRDefault="00000000" w:rsidP="00EA4C1F">
      <w:pPr>
        <w:pStyle w:val="Heading4"/>
        <w:numPr>
          <w:ilvl w:val="3"/>
          <w:numId w:val="3"/>
        </w:numPr>
        <w:spacing w:before="240" w:after="240" w:line="480" w:lineRule="auto"/>
        <w:ind w:left="1275"/>
        <w:jc w:val="both"/>
        <w:rPr>
          <w:rFonts w:ascii="Times New Roman" w:hAnsi="Times New Roman" w:cs="Times New Roman"/>
          <w:i w:val="0"/>
          <w:iCs w:val="0"/>
        </w:rPr>
      </w:pPr>
      <w:bookmarkStart w:id="60" w:name="_heading=h.14mrwja8sx11" w:colFirst="0" w:colLast="0"/>
      <w:bookmarkEnd w:id="60"/>
      <w:r w:rsidRPr="00EA4C1F">
        <w:rPr>
          <w:rFonts w:ascii="Times New Roman" w:hAnsi="Times New Roman" w:cs="Times New Roman"/>
          <w:i w:val="0"/>
          <w:iCs w:val="0"/>
        </w:rPr>
        <w:t>Enfoque de estimación de la distribución</w:t>
      </w:r>
    </w:p>
    <w:p w14:paraId="00000116" w14:textId="77777777"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Como enfoque elegido, se utiliza un procedimiento de </w:t>
      </w:r>
      <w:proofErr w:type="spellStart"/>
      <w:r w:rsidRPr="00EA4C1F">
        <w:rPr>
          <w:rFonts w:ascii="Times New Roman" w:eastAsia="Times New Roman" w:hAnsi="Times New Roman" w:cs="Times New Roman"/>
          <w:sz w:val="24"/>
          <w:szCs w:val="24"/>
        </w:rPr>
        <w:t>bootstrap</w:t>
      </w:r>
      <w:proofErr w:type="spellEnd"/>
      <w:r w:rsidRPr="00EA4C1F">
        <w:rPr>
          <w:rFonts w:ascii="Times New Roman" w:eastAsia="Times New Roman" w:hAnsi="Times New Roman" w:cs="Times New Roman"/>
          <w:sz w:val="24"/>
          <w:szCs w:val="24"/>
        </w:rPr>
        <w:t xml:space="preserve"> propuesto por England &amp; Verrall (2002).  Para esto, se parte triángulo de siniestros acumulados, calculado en la sección “Medición </w:t>
      </w:r>
      <w:r w:rsidRPr="00EA4C1F">
        <w:rPr>
          <w:rFonts w:ascii="Times New Roman" w:eastAsia="Times New Roman" w:hAnsi="Times New Roman" w:cs="Times New Roman"/>
          <w:sz w:val="24"/>
          <w:szCs w:val="24"/>
        </w:rPr>
        <w:lastRenderedPageBreak/>
        <w:t xml:space="preserve">de Siniestro” y se procede a modificar el mismo aplicando los </w:t>
      </w:r>
      <w:proofErr w:type="spellStart"/>
      <w:r w:rsidRPr="00EA4C1F">
        <w:rPr>
          <w:rFonts w:ascii="Times New Roman" w:eastAsia="Times New Roman" w:hAnsi="Times New Roman" w:cs="Times New Roman"/>
          <w:sz w:val="24"/>
          <w:szCs w:val="24"/>
        </w:rPr>
        <w:t>FDIs</w:t>
      </w:r>
      <w:proofErr w:type="spellEnd"/>
      <w:r w:rsidRPr="00EA4C1F">
        <w:rPr>
          <w:rFonts w:ascii="Times New Roman" w:eastAsia="Times New Roman" w:hAnsi="Times New Roman" w:cs="Times New Roman"/>
          <w:sz w:val="24"/>
          <w:szCs w:val="24"/>
        </w:rPr>
        <w:t xml:space="preserve"> correspondientes de forma retrospectiva, resultando así en un triángulo ajustado acumulado:</w:t>
      </w:r>
    </w:p>
    <w:p w14:paraId="00000117" w14:textId="77777777"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br/>
        <w:t xml:space="preserve"> D_{</w:t>
      </w:r>
      <w:proofErr w:type="gramStart"/>
      <w:r w:rsidRPr="00EA4C1F">
        <w:rPr>
          <w:rFonts w:ascii="Times New Roman" w:eastAsia="Times New Roman" w:hAnsi="Times New Roman" w:cs="Times New Roman"/>
          <w:sz w:val="24"/>
          <w:szCs w:val="24"/>
        </w:rPr>
        <w:t>i,j</w:t>
      </w:r>
      <w:proofErr w:type="gramEnd"/>
      <w:r w:rsidRPr="00EA4C1F">
        <w:rPr>
          <w:rFonts w:ascii="Times New Roman" w:eastAsia="Times New Roman" w:hAnsi="Times New Roman" w:cs="Times New Roman"/>
          <w:sz w:val="24"/>
          <w:szCs w:val="24"/>
        </w:rPr>
        <w:t>-1} = D_{</w:t>
      </w:r>
      <w:proofErr w:type="spellStart"/>
      <w:proofErr w:type="gramStart"/>
      <w:r w:rsidRPr="00EA4C1F">
        <w:rPr>
          <w:rFonts w:ascii="Times New Roman" w:eastAsia="Times New Roman" w:hAnsi="Times New Roman" w:cs="Times New Roman"/>
          <w:sz w:val="24"/>
          <w:szCs w:val="24"/>
        </w:rPr>
        <w:t>i,j</w:t>
      </w:r>
      <w:proofErr w:type="spellEnd"/>
      <w:proofErr w:type="gramEnd"/>
      <w:r w:rsidRPr="00EA4C1F">
        <w:rPr>
          <w:rFonts w:ascii="Times New Roman" w:eastAsia="Times New Roman" w:hAnsi="Times New Roman" w:cs="Times New Roman"/>
          <w:sz w:val="24"/>
          <w:szCs w:val="24"/>
        </w:rPr>
        <w:t>} / R_{j-1}</w:t>
      </w:r>
    </w:p>
    <w:p w14:paraId="00000118" w14:textId="77777777"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Donde:</w:t>
      </w:r>
    </w:p>
    <w:p w14:paraId="00000119" w14:textId="77777777"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w:t>
      </w:r>
    </w:p>
    <w:p w14:paraId="0000011A" w14:textId="77777777" w:rsidR="00E6009A" w:rsidRPr="00EA4C1F" w:rsidRDefault="00E6009A" w:rsidP="00EA4C1F">
      <w:pPr>
        <w:spacing w:before="240" w:after="240" w:line="480" w:lineRule="auto"/>
        <w:jc w:val="both"/>
        <w:rPr>
          <w:rFonts w:ascii="Times New Roman" w:eastAsia="Times New Roman" w:hAnsi="Times New Roman" w:cs="Times New Roman"/>
          <w:sz w:val="24"/>
          <w:szCs w:val="24"/>
        </w:rPr>
      </w:pPr>
    </w:p>
    <w:p w14:paraId="0000011B" w14:textId="77777777"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Como paso siguiente, se obtienen los incrementales de dicho triángulo y se calcula con ellos los residuales de Pearson ajustados para cada valor </w:t>
      </w:r>
      <w:proofErr w:type="gramStart"/>
      <w:r w:rsidRPr="00EA4C1F">
        <w:rPr>
          <w:rFonts w:ascii="Times New Roman" w:eastAsia="Times New Roman" w:hAnsi="Times New Roman" w:cs="Times New Roman"/>
          <w:sz w:val="24"/>
          <w:szCs w:val="24"/>
        </w:rPr>
        <w:t>del mismo</w:t>
      </w:r>
      <w:proofErr w:type="gramEnd"/>
      <w:r w:rsidRPr="00EA4C1F">
        <w:rPr>
          <w:rFonts w:ascii="Times New Roman" w:eastAsia="Times New Roman" w:hAnsi="Times New Roman" w:cs="Times New Roman"/>
          <w:sz w:val="24"/>
          <w:szCs w:val="24"/>
        </w:rPr>
        <w:t xml:space="preserve">. Esto resulta en un triángulo de </w:t>
      </w:r>
      <w:proofErr w:type="gramStart"/>
      <w:r w:rsidRPr="00EA4C1F">
        <w:rPr>
          <w:rFonts w:ascii="Times New Roman" w:eastAsia="Times New Roman" w:hAnsi="Times New Roman" w:cs="Times New Roman"/>
          <w:sz w:val="24"/>
          <w:szCs w:val="24"/>
        </w:rPr>
        <w:t>residuales :</w:t>
      </w:r>
      <w:proofErr w:type="gramEnd"/>
    </w:p>
    <w:p w14:paraId="0000011C" w14:textId="77777777" w:rsidR="00E6009A" w:rsidRPr="00EA4C1F" w:rsidRDefault="00000000" w:rsidP="00EA4C1F">
      <w:pPr>
        <w:spacing w:before="240" w:after="240" w:line="480" w:lineRule="auto"/>
        <w:jc w:val="both"/>
        <w:rPr>
          <w:rFonts w:ascii="Times New Roman" w:eastAsia="Times New Roman" w:hAnsi="Times New Roman" w:cs="Times New Roman"/>
          <w:sz w:val="24"/>
          <w:szCs w:val="24"/>
        </w:rPr>
      </w:pPr>
      <w:proofErr w:type="spellStart"/>
      <w:r w:rsidRPr="00EA4C1F">
        <w:rPr>
          <w:rFonts w:ascii="Times New Roman" w:eastAsia="Times New Roman" w:hAnsi="Times New Roman" w:cs="Times New Roman"/>
          <w:sz w:val="24"/>
          <w:szCs w:val="24"/>
        </w:rPr>
        <w:t>rp</w:t>
      </w:r>
      <w:proofErr w:type="spellEnd"/>
      <w:r w:rsidRPr="00EA4C1F">
        <w:rPr>
          <w:rFonts w:ascii="Times New Roman" w:eastAsia="Times New Roman" w:hAnsi="Times New Roman" w:cs="Times New Roman"/>
          <w:sz w:val="24"/>
          <w:szCs w:val="24"/>
        </w:rPr>
        <w:t>'_{</w:t>
      </w:r>
      <w:proofErr w:type="spellStart"/>
      <w:proofErr w:type="gramStart"/>
      <w:r w:rsidRPr="00EA4C1F">
        <w:rPr>
          <w:rFonts w:ascii="Times New Roman" w:eastAsia="Times New Roman" w:hAnsi="Times New Roman" w:cs="Times New Roman"/>
          <w:sz w:val="24"/>
          <w:szCs w:val="24"/>
        </w:rPr>
        <w:t>i,j</w:t>
      </w:r>
      <w:proofErr w:type="spellEnd"/>
      <w:proofErr w:type="gramEnd"/>
      <w:r w:rsidRPr="00EA4C1F">
        <w:rPr>
          <w:rFonts w:ascii="Times New Roman" w:eastAsia="Times New Roman" w:hAnsi="Times New Roman" w:cs="Times New Roman"/>
          <w:sz w:val="24"/>
          <w:szCs w:val="24"/>
        </w:rPr>
        <w:t>} = (C_{</w:t>
      </w:r>
      <w:proofErr w:type="spellStart"/>
      <w:proofErr w:type="gramStart"/>
      <w:r w:rsidRPr="00EA4C1F">
        <w:rPr>
          <w:rFonts w:ascii="Times New Roman" w:eastAsia="Times New Roman" w:hAnsi="Times New Roman" w:cs="Times New Roman"/>
          <w:sz w:val="24"/>
          <w:szCs w:val="24"/>
        </w:rPr>
        <w:t>i,j</w:t>
      </w:r>
      <w:proofErr w:type="spellEnd"/>
      <w:proofErr w:type="gramEnd"/>
      <w:r w:rsidRPr="00EA4C1F">
        <w:rPr>
          <w:rFonts w:ascii="Times New Roman" w:eastAsia="Times New Roman" w:hAnsi="Times New Roman" w:cs="Times New Roman"/>
          <w:sz w:val="24"/>
          <w:szCs w:val="24"/>
        </w:rPr>
        <w:t>} - m_{</w:t>
      </w:r>
      <w:proofErr w:type="spellStart"/>
      <w:proofErr w:type="gramStart"/>
      <w:r w:rsidRPr="00EA4C1F">
        <w:rPr>
          <w:rFonts w:ascii="Times New Roman" w:eastAsia="Times New Roman" w:hAnsi="Times New Roman" w:cs="Times New Roman"/>
          <w:sz w:val="24"/>
          <w:szCs w:val="24"/>
        </w:rPr>
        <w:t>i,j</w:t>
      </w:r>
      <w:proofErr w:type="spellEnd"/>
      <w:proofErr w:type="gramEnd"/>
      <w:r w:rsidRPr="00EA4C1F">
        <w:rPr>
          <w:rFonts w:ascii="Times New Roman" w:eastAsia="Times New Roman" w:hAnsi="Times New Roman" w:cs="Times New Roman"/>
          <w:sz w:val="24"/>
          <w:szCs w:val="24"/>
        </w:rPr>
        <w:t xml:space="preserve">}) / </w:t>
      </w:r>
      <w:proofErr w:type="spellStart"/>
      <w:r w:rsidRPr="00EA4C1F">
        <w:rPr>
          <w:rFonts w:ascii="Times New Roman" w:eastAsia="Times New Roman" w:hAnsi="Times New Roman" w:cs="Times New Roman"/>
          <w:sz w:val="24"/>
          <w:szCs w:val="24"/>
        </w:rPr>
        <w:t>sqrt</w:t>
      </w:r>
      <w:proofErr w:type="spellEnd"/>
      <w:r w:rsidRPr="00EA4C1F">
        <w:rPr>
          <w:rFonts w:ascii="Times New Roman" w:eastAsia="Times New Roman" w:hAnsi="Times New Roman" w:cs="Times New Roman"/>
          <w:sz w:val="24"/>
          <w:szCs w:val="24"/>
        </w:rPr>
        <w:t>(m_{</w:t>
      </w:r>
      <w:proofErr w:type="spellStart"/>
      <w:proofErr w:type="gramStart"/>
      <w:r w:rsidRPr="00EA4C1F">
        <w:rPr>
          <w:rFonts w:ascii="Times New Roman" w:eastAsia="Times New Roman" w:hAnsi="Times New Roman" w:cs="Times New Roman"/>
          <w:sz w:val="24"/>
          <w:szCs w:val="24"/>
        </w:rPr>
        <w:t>i,j</w:t>
      </w:r>
      <w:proofErr w:type="spellEnd"/>
      <w:proofErr w:type="gramEnd"/>
      <w:r w:rsidRPr="00EA4C1F">
        <w:rPr>
          <w:rFonts w:ascii="Times New Roman" w:eastAsia="Times New Roman" w:hAnsi="Times New Roman" w:cs="Times New Roman"/>
          <w:sz w:val="24"/>
          <w:szCs w:val="24"/>
        </w:rPr>
        <w:t xml:space="preserve">}) · </w:t>
      </w:r>
      <w:proofErr w:type="spellStart"/>
      <w:proofErr w:type="gramStart"/>
      <w:r w:rsidRPr="00EA4C1F">
        <w:rPr>
          <w:rFonts w:ascii="Times New Roman" w:eastAsia="Times New Roman" w:hAnsi="Times New Roman" w:cs="Times New Roman"/>
          <w:sz w:val="24"/>
          <w:szCs w:val="24"/>
        </w:rPr>
        <w:t>sqrt</w:t>
      </w:r>
      <w:proofErr w:type="spellEnd"/>
      <w:r w:rsidRPr="00EA4C1F">
        <w:rPr>
          <w:rFonts w:ascii="Times New Roman" w:eastAsia="Times New Roman" w:hAnsi="Times New Roman" w:cs="Times New Roman"/>
          <w:sz w:val="24"/>
          <w:szCs w:val="24"/>
        </w:rPr>
        <w:t>(</w:t>
      </w:r>
      <w:proofErr w:type="gramEnd"/>
      <w:r w:rsidRPr="00EA4C1F">
        <w:rPr>
          <w:rFonts w:ascii="Times New Roman" w:eastAsia="Times New Roman" w:hAnsi="Times New Roman" w:cs="Times New Roman"/>
          <w:sz w:val="24"/>
          <w:szCs w:val="24"/>
        </w:rPr>
        <w:t>n / (n - p))</w:t>
      </w:r>
    </w:p>
    <w:p w14:paraId="0000011D" w14:textId="77777777"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Donde:</w:t>
      </w:r>
    </w:p>
    <w:p w14:paraId="0000011E" w14:textId="77777777"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 </w:t>
      </w:r>
    </w:p>
    <w:p w14:paraId="0000011F" w14:textId="77777777"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Se inicia un bucle iterativo que se repetirá hasta que el promedio de todos los resultados converja en el IBNR total calculado en la sección “Medición de siniestros</w:t>
      </w:r>
      <w:proofErr w:type="gramStart"/>
      <w:r w:rsidRPr="00EA4C1F">
        <w:rPr>
          <w:rFonts w:ascii="Times New Roman" w:eastAsia="Times New Roman" w:hAnsi="Times New Roman" w:cs="Times New Roman"/>
          <w:sz w:val="24"/>
          <w:szCs w:val="24"/>
        </w:rPr>
        <w:t>” :</w:t>
      </w:r>
      <w:proofErr w:type="gramEnd"/>
    </w:p>
    <w:p w14:paraId="00000120" w14:textId="77777777" w:rsidR="00E6009A" w:rsidRPr="00EA4C1F" w:rsidRDefault="00000000" w:rsidP="00EA4C1F">
      <w:pPr>
        <w:numPr>
          <w:ilvl w:val="0"/>
          <w:numId w:val="8"/>
        </w:numPr>
        <w:spacing w:before="240"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 De forma aleatoria con igual probabilidad, se </w:t>
      </w:r>
      <w:proofErr w:type="spellStart"/>
      <w:r w:rsidRPr="00EA4C1F">
        <w:rPr>
          <w:rFonts w:ascii="Times New Roman" w:eastAsia="Times New Roman" w:hAnsi="Times New Roman" w:cs="Times New Roman"/>
          <w:sz w:val="24"/>
          <w:szCs w:val="24"/>
        </w:rPr>
        <w:t>remuestrean</w:t>
      </w:r>
      <w:proofErr w:type="spellEnd"/>
      <w:r w:rsidRPr="00EA4C1F">
        <w:rPr>
          <w:rFonts w:ascii="Times New Roman" w:eastAsia="Times New Roman" w:hAnsi="Times New Roman" w:cs="Times New Roman"/>
          <w:sz w:val="24"/>
          <w:szCs w:val="24"/>
        </w:rPr>
        <w:t xml:space="preserve"> los residuales de Pearson ajustados, construyendo así, un nuevo triángulo.</w:t>
      </w:r>
    </w:p>
    <w:p w14:paraId="00000121" w14:textId="77777777" w:rsidR="00E6009A" w:rsidRPr="00EA4C1F" w:rsidRDefault="00000000" w:rsidP="00EA4C1F">
      <w:pPr>
        <w:numPr>
          <w:ilvl w:val="0"/>
          <w:numId w:val="8"/>
        </w:num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 Se obtienen los valores de siniestros incrementales a partir de los residuos de Pearson y se acumulan en un nuevo triángulo de siniestros acumulados.</w:t>
      </w:r>
    </w:p>
    <w:p w14:paraId="00000122" w14:textId="77777777" w:rsidR="00E6009A" w:rsidRPr="00EA4C1F" w:rsidRDefault="00000000" w:rsidP="00EA4C1F">
      <w:pPr>
        <w:numPr>
          <w:ilvl w:val="0"/>
          <w:numId w:val="8"/>
        </w:numPr>
        <w:spacing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lastRenderedPageBreak/>
        <w:t>Utilizando la misma metodología que en la sección “Medición de siniestros” y aplicando el factor de descuento se obtiene el monto total del IBNR</w:t>
      </w:r>
    </w:p>
    <w:p w14:paraId="00000123" w14:textId="77777777"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El resultado de este bucle será una distribución empírica de la estimación de IBNR por Chain Ladder sobre la cual se calcularán las medidas de riesgo VaR y </w:t>
      </w:r>
      <w:proofErr w:type="spellStart"/>
      <w:r w:rsidRPr="00EA4C1F">
        <w:rPr>
          <w:rFonts w:ascii="Times New Roman" w:eastAsia="Times New Roman" w:hAnsi="Times New Roman" w:cs="Times New Roman"/>
          <w:sz w:val="24"/>
          <w:szCs w:val="24"/>
        </w:rPr>
        <w:t>TVaR</w:t>
      </w:r>
      <w:proofErr w:type="spellEnd"/>
      <w:r w:rsidRPr="00EA4C1F">
        <w:rPr>
          <w:rFonts w:ascii="Times New Roman" w:eastAsia="Times New Roman" w:hAnsi="Times New Roman" w:cs="Times New Roman"/>
          <w:sz w:val="24"/>
          <w:szCs w:val="24"/>
        </w:rPr>
        <w:t xml:space="preserve"> con niveles de confianza entre 60% y 95%. Este último se define como el valor promedio de la distribución al superarse el cierto nivel de confianza.</w:t>
      </w:r>
    </w:p>
    <w:p w14:paraId="00000124" w14:textId="77777777" w:rsidR="00E6009A" w:rsidRPr="00EA4C1F" w:rsidRDefault="00000000" w:rsidP="00EA4C1F">
      <w:pPr>
        <w:pStyle w:val="Heading4"/>
        <w:numPr>
          <w:ilvl w:val="3"/>
          <w:numId w:val="3"/>
        </w:numPr>
        <w:spacing w:before="240" w:after="240" w:line="480" w:lineRule="auto"/>
        <w:ind w:left="1275"/>
        <w:jc w:val="both"/>
        <w:rPr>
          <w:rFonts w:ascii="Times New Roman" w:hAnsi="Times New Roman" w:cs="Times New Roman"/>
        </w:rPr>
      </w:pPr>
      <w:bookmarkStart w:id="61" w:name="_heading=h.fvjv99j644ys" w:colFirst="0" w:colLast="0"/>
      <w:bookmarkEnd w:id="61"/>
      <w:r w:rsidRPr="00EA4C1F">
        <w:rPr>
          <w:rFonts w:ascii="Times New Roman" w:hAnsi="Times New Roman" w:cs="Times New Roman"/>
        </w:rPr>
        <w:t>Selección y aplicación del ajuste de riesgo no financiero</w:t>
      </w:r>
    </w:p>
    <w:p w14:paraId="00000125" w14:textId="77777777"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Una vez obtenidos los diferentes puntos de las medidas de riesgos, con criterio experto del actuario se realiza una selección a partir del historial y las características del ramo. Luego, se calcula un factor de ajuste de forma:</w:t>
      </w:r>
      <w:r w:rsidRPr="00EA4C1F">
        <w:rPr>
          <w:rFonts w:ascii="Times New Roman" w:eastAsia="Times New Roman" w:hAnsi="Times New Roman" w:cs="Times New Roman"/>
          <w:sz w:val="24"/>
          <w:szCs w:val="24"/>
        </w:rPr>
        <w:br/>
        <w:t>[Ajuste = (Var(X)_% - E(X</w:t>
      </w:r>
      <w:proofErr w:type="gramStart"/>
      <w:r w:rsidRPr="00EA4C1F">
        <w:rPr>
          <w:rFonts w:ascii="Times New Roman" w:eastAsia="Times New Roman" w:hAnsi="Times New Roman" w:cs="Times New Roman"/>
          <w:sz w:val="24"/>
          <w:szCs w:val="24"/>
        </w:rPr>
        <w:t>))/</w:t>
      </w:r>
      <w:proofErr w:type="gramEnd"/>
      <w:r w:rsidRPr="00EA4C1F">
        <w:rPr>
          <w:rFonts w:ascii="Times New Roman" w:eastAsia="Times New Roman" w:hAnsi="Times New Roman" w:cs="Times New Roman"/>
          <w:sz w:val="24"/>
          <w:szCs w:val="24"/>
        </w:rPr>
        <w:t>E(X)][formula]</w:t>
      </w:r>
    </w:p>
    <w:p w14:paraId="00000126" w14:textId="77777777"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Donde X corresponde a la distribución estimada en el paso anterior.</w:t>
      </w:r>
    </w:p>
    <w:p w14:paraId="00000127" w14:textId="77777777"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Por último, se estima el ajuste por riesgo no financiero como:</w:t>
      </w:r>
      <w:r w:rsidRPr="00EA4C1F">
        <w:rPr>
          <w:rFonts w:ascii="Times New Roman" w:eastAsia="Times New Roman" w:hAnsi="Times New Roman" w:cs="Times New Roman"/>
          <w:sz w:val="24"/>
          <w:szCs w:val="24"/>
        </w:rPr>
        <w:br/>
        <w:t>[Ajuste de riesgo no financiero = Flujo del seguro descontado * Ajuste]</w:t>
      </w:r>
    </w:p>
    <w:p w14:paraId="00000128" w14:textId="77777777" w:rsidR="00E6009A" w:rsidRPr="00EA4C1F" w:rsidRDefault="00E6009A" w:rsidP="00EA4C1F">
      <w:pPr>
        <w:jc w:val="both"/>
        <w:rPr>
          <w:rFonts w:ascii="Times New Roman" w:hAnsi="Times New Roman" w:cs="Times New Roman"/>
        </w:rPr>
      </w:pPr>
    </w:p>
    <w:p w14:paraId="00000129" w14:textId="77777777" w:rsidR="00E6009A" w:rsidRPr="00EA4C1F" w:rsidRDefault="00000000" w:rsidP="00EA4C1F">
      <w:pPr>
        <w:pStyle w:val="Heading1"/>
        <w:numPr>
          <w:ilvl w:val="0"/>
          <w:numId w:val="3"/>
        </w:numPr>
      </w:pPr>
      <w:bookmarkStart w:id="62" w:name="_heading=h.ma4zcnithr93" w:colFirst="0" w:colLast="0"/>
      <w:bookmarkEnd w:id="62"/>
      <w:r w:rsidRPr="00EA4C1F">
        <w:t>Análisis de Resultados</w:t>
      </w:r>
    </w:p>
    <w:p w14:paraId="0000012A"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En el siguiente apartado, se describe el análisis realizado sobre las bases de datos siguiendo la metodología explicitada anteriormente, junto con los resultados obtenidos en cada paso.</w:t>
      </w:r>
    </w:p>
    <w:p w14:paraId="0000012B"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lastRenderedPageBreak/>
        <w:t>En primer lugar, se presentan las mediciones bajo normativa del RGAA ya que es el esquema regulatorio de referencia y permite establecer un punto de comparación con el esquema compatible con IFRS 17, el cual se desarrolla luego es éste.</w:t>
      </w:r>
    </w:p>
    <w:p w14:paraId="0000012C" w14:textId="77777777" w:rsidR="00E6009A" w:rsidRPr="00EA4C1F" w:rsidRDefault="00000000" w:rsidP="00EA4C1F">
      <w:pPr>
        <w:pStyle w:val="Heading2"/>
        <w:numPr>
          <w:ilvl w:val="1"/>
          <w:numId w:val="3"/>
        </w:numPr>
        <w:spacing w:line="480" w:lineRule="auto"/>
        <w:jc w:val="both"/>
        <w:rPr>
          <w:rFonts w:ascii="Times New Roman" w:eastAsia="Times New Roman" w:hAnsi="Times New Roman" w:cs="Times New Roman"/>
        </w:rPr>
      </w:pPr>
      <w:bookmarkStart w:id="63" w:name="_heading=h.muwd3u1vx03e" w:colFirst="0" w:colLast="0"/>
      <w:bookmarkEnd w:id="63"/>
      <w:r w:rsidRPr="00EA4C1F">
        <w:rPr>
          <w:rFonts w:ascii="Times New Roman" w:eastAsia="Times New Roman" w:hAnsi="Times New Roman" w:cs="Times New Roman"/>
        </w:rPr>
        <w:t>Medición bajo RGAA</w:t>
      </w:r>
    </w:p>
    <w:p w14:paraId="0000012D"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El esquema metodológico propuesto por el RGAA, indica un procedimiento uniforme para los tres </w:t>
      </w:r>
      <w:proofErr w:type="spellStart"/>
      <w:r w:rsidRPr="00EA4C1F">
        <w:rPr>
          <w:rFonts w:ascii="Times New Roman" w:eastAsia="Times New Roman" w:hAnsi="Times New Roman" w:cs="Times New Roman"/>
          <w:sz w:val="24"/>
          <w:szCs w:val="24"/>
        </w:rPr>
        <w:t>sub-ramos</w:t>
      </w:r>
      <w:proofErr w:type="spellEnd"/>
      <w:r w:rsidRPr="00EA4C1F">
        <w:rPr>
          <w:rFonts w:ascii="Times New Roman" w:eastAsia="Times New Roman" w:hAnsi="Times New Roman" w:cs="Times New Roman"/>
          <w:sz w:val="24"/>
          <w:szCs w:val="24"/>
        </w:rPr>
        <w:t xml:space="preserve"> ya que pertenecen al mismo ramo de seguro y cuentan con la misma cantidad de observaciones. </w:t>
      </w:r>
      <w:proofErr w:type="spellStart"/>
      <w:proofErr w:type="gramStart"/>
      <w:r w:rsidRPr="00EA4C1F">
        <w:rPr>
          <w:rFonts w:ascii="Times New Roman" w:eastAsia="Times New Roman" w:hAnsi="Times New Roman" w:cs="Times New Roman"/>
          <w:sz w:val="24"/>
          <w:szCs w:val="24"/>
        </w:rPr>
        <w:t>Adicionalmente,teniendo</w:t>
      </w:r>
      <w:proofErr w:type="spellEnd"/>
      <w:proofErr w:type="gramEnd"/>
      <w:r w:rsidRPr="00EA4C1F">
        <w:rPr>
          <w:rFonts w:ascii="Times New Roman" w:eastAsia="Times New Roman" w:hAnsi="Times New Roman" w:cs="Times New Roman"/>
          <w:sz w:val="24"/>
          <w:szCs w:val="24"/>
        </w:rPr>
        <w:t xml:space="preserve"> en cuenta el supuesto de estabilidad y la ausencia de siniestros excepcionales, se utilizó la totalidad de los siniestros en la base de datos. Para homogeneizar montos a una misma unidad de medida, se utilizó el índice FACPCE al 30/6/2024, asumiendo que los siniestros tienen fecha media de ocurrencia a mitad del periodo, es decir, a principios de año. Agrupando por Año observado y periodo del ajuste, </w:t>
      </w:r>
      <w:proofErr w:type="spellStart"/>
      <w:r w:rsidRPr="00EA4C1F">
        <w:rPr>
          <w:rFonts w:ascii="Times New Roman" w:eastAsia="Times New Roman" w:hAnsi="Times New Roman" w:cs="Times New Roman"/>
          <w:sz w:val="24"/>
          <w:szCs w:val="24"/>
        </w:rPr>
        <w:t>el</w:t>
      </w:r>
      <w:proofErr w:type="spellEnd"/>
      <w:r w:rsidRPr="00EA4C1F">
        <w:rPr>
          <w:rFonts w:ascii="Times New Roman" w:eastAsia="Times New Roman" w:hAnsi="Times New Roman" w:cs="Times New Roman"/>
          <w:sz w:val="24"/>
          <w:szCs w:val="24"/>
        </w:rPr>
        <w:t xml:space="preserve"> se confecciona un triángulo de ajuste FACPCE, calculado según indica la metodología:</w:t>
      </w:r>
      <w:r w:rsidRPr="00EA4C1F">
        <w:rPr>
          <w:rFonts w:ascii="Times New Roman" w:eastAsia="Times New Roman" w:hAnsi="Times New Roman" w:cs="Times New Roman"/>
          <w:noProof/>
          <w:sz w:val="24"/>
          <w:szCs w:val="24"/>
        </w:rPr>
        <w:drawing>
          <wp:inline distT="114300" distB="114300" distL="114300" distR="114300" wp14:anchorId="6B21301C" wp14:editId="733F82C0">
            <wp:extent cx="5943600" cy="1066800"/>
            <wp:effectExtent l="0" t="0" r="0" b="0"/>
            <wp:docPr id="1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1"/>
                    <a:srcRect/>
                    <a:stretch>
                      <a:fillRect/>
                    </a:stretch>
                  </pic:blipFill>
                  <pic:spPr>
                    <a:xfrm>
                      <a:off x="0" y="0"/>
                      <a:ext cx="5943600" cy="1066800"/>
                    </a:xfrm>
                    <a:prstGeom prst="rect">
                      <a:avLst/>
                    </a:prstGeom>
                    <a:ln/>
                  </pic:spPr>
                </pic:pic>
              </a:graphicData>
            </a:graphic>
          </wp:inline>
        </w:drawing>
      </w:r>
    </w:p>
    <w:p w14:paraId="0000012E"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Posteriormente, los registros de siniestros se agregaron por Año de Ocurrencia y Período de Desarrollo, obteniendo el triángulo incremental de siniestros incurridos. Cada celda de este triángulo incremental se actualizó multiplicándola por el factor de ajuste FACPCE correspondiente, dando lugar a un triángulo incremental actualizado, que luego se acumuló para </w:t>
      </w:r>
      <w:r w:rsidRPr="00EA4C1F">
        <w:rPr>
          <w:rFonts w:ascii="Times New Roman" w:eastAsia="Times New Roman" w:hAnsi="Times New Roman" w:cs="Times New Roman"/>
          <w:sz w:val="24"/>
          <w:szCs w:val="24"/>
        </w:rPr>
        <w:lastRenderedPageBreak/>
        <w:t>construir el triángulo acumulado utilizado como base de cálculo</w:t>
      </w:r>
      <w:r w:rsidRPr="00EA4C1F">
        <w:rPr>
          <w:rFonts w:ascii="Times New Roman" w:eastAsia="Times New Roman" w:hAnsi="Times New Roman" w:cs="Times New Roman"/>
          <w:noProof/>
          <w:sz w:val="24"/>
          <w:szCs w:val="24"/>
        </w:rPr>
        <w:drawing>
          <wp:inline distT="114300" distB="114300" distL="114300" distR="114300" wp14:anchorId="66880532" wp14:editId="0B3C3C57">
            <wp:extent cx="5943600" cy="1041400"/>
            <wp:effectExtent l="0" t="0" r="0" b="0"/>
            <wp:docPr id="1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2"/>
                    <a:srcRect/>
                    <a:stretch>
                      <a:fillRect/>
                    </a:stretch>
                  </pic:blipFill>
                  <pic:spPr>
                    <a:xfrm>
                      <a:off x="0" y="0"/>
                      <a:ext cx="5943600" cy="1041400"/>
                    </a:xfrm>
                    <a:prstGeom prst="rect">
                      <a:avLst/>
                    </a:prstGeom>
                    <a:ln/>
                  </pic:spPr>
                </pic:pic>
              </a:graphicData>
            </a:graphic>
          </wp:inline>
        </w:drawing>
      </w:r>
    </w:p>
    <w:p w14:paraId="0000012F"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Sobre dicho triángulo se estimaron los Factores de FDI y los FDA, incorporando un factor de cola de 1.05 correspondiente a la naturaleza de cola larga del ramo y la información de seis años.</w:t>
      </w:r>
    </w:p>
    <w:p w14:paraId="00000130"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noProof/>
          <w:sz w:val="24"/>
          <w:szCs w:val="24"/>
        </w:rPr>
        <w:drawing>
          <wp:inline distT="114300" distB="114300" distL="114300" distR="114300" wp14:anchorId="20E37BAC" wp14:editId="520C3373">
            <wp:extent cx="4052888" cy="476810"/>
            <wp:effectExtent l="0" t="0" r="0" b="0"/>
            <wp:docPr id="1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3"/>
                    <a:srcRect/>
                    <a:stretch>
                      <a:fillRect/>
                    </a:stretch>
                  </pic:blipFill>
                  <pic:spPr>
                    <a:xfrm>
                      <a:off x="0" y="0"/>
                      <a:ext cx="4052888" cy="476810"/>
                    </a:xfrm>
                    <a:prstGeom prst="rect">
                      <a:avLst/>
                    </a:prstGeom>
                    <a:ln/>
                  </pic:spPr>
                </pic:pic>
              </a:graphicData>
            </a:graphic>
          </wp:inline>
        </w:drawing>
      </w:r>
    </w:p>
    <w:p w14:paraId="00000131"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Finalmente, los FDA se aplicaron sobre la última diagonal disponible del triángulo acumulado, obteniendo los Siniestros Ultimate y, por diferencia, el IBNR por Año de Ocurrencia</w:t>
      </w:r>
    </w:p>
    <w:p w14:paraId="00000132"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noProof/>
          <w:sz w:val="24"/>
          <w:szCs w:val="24"/>
        </w:rPr>
        <w:drawing>
          <wp:inline distT="114300" distB="114300" distL="114300" distR="114300" wp14:anchorId="391EA4EF" wp14:editId="67AA3CB7">
            <wp:extent cx="4033838" cy="1241720"/>
            <wp:effectExtent l="0" t="0" r="0" b="0"/>
            <wp:docPr id="30"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4"/>
                    <a:srcRect/>
                    <a:stretch>
                      <a:fillRect/>
                    </a:stretch>
                  </pic:blipFill>
                  <pic:spPr>
                    <a:xfrm>
                      <a:off x="0" y="0"/>
                      <a:ext cx="4033838" cy="1241720"/>
                    </a:xfrm>
                    <a:prstGeom prst="rect">
                      <a:avLst/>
                    </a:prstGeom>
                    <a:ln/>
                  </pic:spPr>
                </pic:pic>
              </a:graphicData>
            </a:graphic>
          </wp:inline>
        </w:drawing>
      </w:r>
    </w:p>
    <w:p w14:paraId="00000133"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En el periodo analizado, no se observaron instancias de IBNR negativo, por lo que, la reserva total por </w:t>
      </w:r>
      <w:proofErr w:type="spellStart"/>
      <w:r w:rsidRPr="00EA4C1F">
        <w:rPr>
          <w:rFonts w:ascii="Times New Roman" w:eastAsia="Times New Roman" w:hAnsi="Times New Roman" w:cs="Times New Roman"/>
          <w:sz w:val="24"/>
          <w:szCs w:val="24"/>
        </w:rPr>
        <w:t>sub-ramo</w:t>
      </w:r>
      <w:proofErr w:type="spellEnd"/>
      <w:r w:rsidRPr="00EA4C1F">
        <w:rPr>
          <w:rFonts w:ascii="Times New Roman" w:eastAsia="Times New Roman" w:hAnsi="Times New Roman" w:cs="Times New Roman"/>
          <w:sz w:val="24"/>
          <w:szCs w:val="24"/>
        </w:rPr>
        <w:t xml:space="preserve"> se determinó como la suma de los IBNR estimados por año.</w:t>
      </w:r>
    </w:p>
    <w:p w14:paraId="00000134"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Aplicando el mismo esquema para los </w:t>
      </w:r>
      <w:proofErr w:type="spellStart"/>
      <w:r w:rsidRPr="00EA4C1F">
        <w:rPr>
          <w:rFonts w:ascii="Times New Roman" w:eastAsia="Times New Roman" w:hAnsi="Times New Roman" w:cs="Times New Roman"/>
          <w:sz w:val="24"/>
          <w:szCs w:val="24"/>
        </w:rPr>
        <w:t>sub-ramos</w:t>
      </w:r>
      <w:proofErr w:type="spellEnd"/>
      <w:r w:rsidRPr="00EA4C1F">
        <w:rPr>
          <w:rFonts w:ascii="Times New Roman" w:eastAsia="Times New Roman" w:hAnsi="Times New Roman" w:cs="Times New Roman"/>
          <w:sz w:val="24"/>
          <w:szCs w:val="24"/>
        </w:rPr>
        <w:t xml:space="preserve"> restantes, se obtienen los siguientes resultados:</w:t>
      </w:r>
    </w:p>
    <w:p w14:paraId="00000135" w14:textId="77777777" w:rsidR="00E6009A" w:rsidRPr="00EA4C1F" w:rsidRDefault="00000000" w:rsidP="00EA4C1F">
      <w:pPr>
        <w:spacing w:line="480" w:lineRule="auto"/>
        <w:jc w:val="both"/>
        <w:rPr>
          <w:rFonts w:ascii="Times New Roman" w:eastAsia="Times New Roman" w:hAnsi="Times New Roman" w:cs="Times New Roman"/>
        </w:rPr>
      </w:pPr>
      <w:r w:rsidRPr="00EA4C1F">
        <w:rPr>
          <w:rFonts w:ascii="Times New Roman" w:eastAsia="Times New Roman" w:hAnsi="Times New Roman" w:cs="Times New Roman"/>
          <w:noProof/>
        </w:rPr>
        <w:drawing>
          <wp:inline distT="114300" distB="114300" distL="114300" distR="114300" wp14:anchorId="08E814CC" wp14:editId="4A728131">
            <wp:extent cx="3239071" cy="877248"/>
            <wp:effectExtent l="0" t="0" r="0" b="0"/>
            <wp:docPr id="29"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25"/>
                    <a:srcRect/>
                    <a:stretch>
                      <a:fillRect/>
                    </a:stretch>
                  </pic:blipFill>
                  <pic:spPr>
                    <a:xfrm>
                      <a:off x="0" y="0"/>
                      <a:ext cx="3239071" cy="877248"/>
                    </a:xfrm>
                    <a:prstGeom prst="rect">
                      <a:avLst/>
                    </a:prstGeom>
                    <a:ln/>
                  </pic:spPr>
                </pic:pic>
              </a:graphicData>
            </a:graphic>
          </wp:inline>
        </w:drawing>
      </w:r>
    </w:p>
    <w:p w14:paraId="00000136" w14:textId="77777777" w:rsidR="00E6009A" w:rsidRPr="00EA4C1F" w:rsidRDefault="00E6009A" w:rsidP="00EA4C1F">
      <w:pPr>
        <w:spacing w:line="480" w:lineRule="auto"/>
        <w:jc w:val="both"/>
        <w:rPr>
          <w:rFonts w:ascii="Times New Roman" w:eastAsia="Times New Roman" w:hAnsi="Times New Roman" w:cs="Times New Roman"/>
        </w:rPr>
      </w:pPr>
    </w:p>
    <w:p w14:paraId="00000137" w14:textId="77777777" w:rsidR="00E6009A" w:rsidRPr="00EA4C1F" w:rsidRDefault="00000000" w:rsidP="00EA4C1F">
      <w:pPr>
        <w:pStyle w:val="Heading2"/>
        <w:numPr>
          <w:ilvl w:val="1"/>
          <w:numId w:val="3"/>
        </w:numPr>
        <w:spacing w:line="480" w:lineRule="auto"/>
        <w:jc w:val="both"/>
        <w:rPr>
          <w:rFonts w:ascii="Times New Roman" w:eastAsia="Times New Roman" w:hAnsi="Times New Roman" w:cs="Times New Roman"/>
        </w:rPr>
      </w:pPr>
      <w:bookmarkStart w:id="64" w:name="_heading=h.7qailcdk9eol" w:colFirst="0" w:colLast="0"/>
      <w:bookmarkEnd w:id="64"/>
      <w:r w:rsidRPr="00EA4C1F">
        <w:rPr>
          <w:rFonts w:ascii="Times New Roman" w:eastAsia="Times New Roman" w:hAnsi="Times New Roman" w:cs="Times New Roman"/>
        </w:rPr>
        <w:lastRenderedPageBreak/>
        <w:t>Medición compatible con IFRS 17</w:t>
      </w:r>
    </w:p>
    <w:p w14:paraId="00000138"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Bajo el marco de IFRS 17, se eligió utilizar el Building Block </w:t>
      </w:r>
      <w:proofErr w:type="spellStart"/>
      <w:r w:rsidRPr="00EA4C1F">
        <w:rPr>
          <w:rFonts w:ascii="Times New Roman" w:eastAsia="Times New Roman" w:hAnsi="Times New Roman" w:cs="Times New Roman"/>
          <w:sz w:val="24"/>
          <w:szCs w:val="24"/>
        </w:rPr>
        <w:t>Approach</w:t>
      </w:r>
      <w:proofErr w:type="spellEnd"/>
      <w:r w:rsidRPr="00EA4C1F">
        <w:rPr>
          <w:rFonts w:ascii="Times New Roman" w:eastAsia="Times New Roman" w:hAnsi="Times New Roman" w:cs="Times New Roman"/>
          <w:sz w:val="24"/>
          <w:szCs w:val="24"/>
        </w:rPr>
        <w:t xml:space="preserve"> (BBA) por lo que se subdividió el cálculo en 3 componentes: Mejor estimado de pasivo, Factor de descuento y Ajuste de riesgo no financiero. A diferencia del enfoque regulatorio, IFRS 17 requiere que la estimación refleje, en forma explícita, supuestos actualizados y coherentes con información disponible al cierre.</w:t>
      </w:r>
    </w:p>
    <w:p w14:paraId="00000139" w14:textId="77777777" w:rsidR="00E6009A" w:rsidRPr="00EA4C1F" w:rsidRDefault="00000000" w:rsidP="00EA4C1F">
      <w:pPr>
        <w:pStyle w:val="Heading3"/>
        <w:numPr>
          <w:ilvl w:val="2"/>
          <w:numId w:val="3"/>
        </w:numPr>
        <w:spacing w:line="480" w:lineRule="auto"/>
        <w:ind w:hanging="360"/>
        <w:jc w:val="both"/>
        <w:rPr>
          <w:rFonts w:ascii="Times New Roman" w:eastAsia="Times New Roman" w:hAnsi="Times New Roman" w:cs="Times New Roman"/>
        </w:rPr>
      </w:pPr>
      <w:bookmarkStart w:id="65" w:name="_heading=h.9yuhdcvsadvy" w:colFirst="0" w:colLast="0"/>
      <w:bookmarkEnd w:id="65"/>
      <w:r w:rsidRPr="00EA4C1F">
        <w:rPr>
          <w:rFonts w:ascii="Times New Roman" w:eastAsia="Times New Roman" w:hAnsi="Times New Roman" w:cs="Times New Roman"/>
        </w:rPr>
        <w:t>Estimación de Siniestros</w:t>
      </w:r>
    </w:p>
    <w:p w14:paraId="0000013A"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La estimación de los siniestros </w:t>
      </w:r>
      <w:proofErr w:type="spellStart"/>
      <w:r w:rsidRPr="00EA4C1F">
        <w:rPr>
          <w:rFonts w:ascii="Times New Roman" w:eastAsia="Times New Roman" w:hAnsi="Times New Roman" w:cs="Times New Roman"/>
          <w:sz w:val="24"/>
          <w:szCs w:val="24"/>
        </w:rPr>
        <w:t>ultimate</w:t>
      </w:r>
      <w:proofErr w:type="spellEnd"/>
      <w:r w:rsidRPr="00EA4C1F">
        <w:rPr>
          <w:rFonts w:ascii="Times New Roman" w:eastAsia="Times New Roman" w:hAnsi="Times New Roman" w:cs="Times New Roman"/>
          <w:sz w:val="24"/>
          <w:szCs w:val="24"/>
        </w:rPr>
        <w:t xml:space="preserve"> y, por diferencia, del IBNR se realizó mediante la metodología Chain Ladder, complementada con un análisis específico de extrapolación de cola para cada </w:t>
      </w:r>
      <w:proofErr w:type="spellStart"/>
      <w:r w:rsidRPr="00EA4C1F">
        <w:rPr>
          <w:rFonts w:ascii="Times New Roman" w:eastAsia="Times New Roman" w:hAnsi="Times New Roman" w:cs="Times New Roman"/>
          <w:sz w:val="24"/>
          <w:szCs w:val="24"/>
        </w:rPr>
        <w:t>sub-ramo</w:t>
      </w:r>
      <w:proofErr w:type="spellEnd"/>
      <w:r w:rsidRPr="00EA4C1F">
        <w:rPr>
          <w:rFonts w:ascii="Times New Roman" w:eastAsia="Times New Roman" w:hAnsi="Times New Roman" w:cs="Times New Roman"/>
          <w:sz w:val="24"/>
          <w:szCs w:val="24"/>
        </w:rPr>
        <w:t xml:space="preserve">. Como primer paso, se aplicó el mismo ajuste por inflación utilizado en la medición bajo RGAA, con el objetivo de expresar los importes en una unidad homogénea y reducir distorsiones. Debido a esto, los triángulos de siniestros acumulados para esta metodología y la de RGAA son iguales. </w:t>
      </w:r>
    </w:p>
    <w:p w14:paraId="0000013B"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noProof/>
          <w:sz w:val="24"/>
          <w:szCs w:val="24"/>
        </w:rPr>
        <w:drawing>
          <wp:inline distT="114300" distB="114300" distL="114300" distR="114300" wp14:anchorId="25D31FA7" wp14:editId="2F71FDE5">
            <wp:extent cx="5943600" cy="1041400"/>
            <wp:effectExtent l="0" t="0" r="0" b="0"/>
            <wp:docPr id="2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2"/>
                    <a:srcRect/>
                    <a:stretch>
                      <a:fillRect/>
                    </a:stretch>
                  </pic:blipFill>
                  <pic:spPr>
                    <a:xfrm>
                      <a:off x="0" y="0"/>
                      <a:ext cx="5943600" cy="1041400"/>
                    </a:xfrm>
                    <a:prstGeom prst="rect">
                      <a:avLst/>
                    </a:prstGeom>
                    <a:ln/>
                  </pic:spPr>
                </pic:pic>
              </a:graphicData>
            </a:graphic>
          </wp:inline>
        </w:drawing>
      </w:r>
    </w:p>
    <w:p w14:paraId="0000013C" w14:textId="77777777" w:rsidR="00E6009A" w:rsidRPr="00EA4C1F" w:rsidRDefault="00000000" w:rsidP="00EA4C1F">
      <w:pPr>
        <w:spacing w:line="480" w:lineRule="auto"/>
        <w:jc w:val="both"/>
        <w:rPr>
          <w:rFonts w:ascii="Times New Roman" w:eastAsia="Times New Roman" w:hAnsi="Times New Roman" w:cs="Times New Roman"/>
        </w:rPr>
      </w:pPr>
      <w:r w:rsidRPr="00EA4C1F">
        <w:rPr>
          <w:rFonts w:ascii="Times New Roman" w:eastAsia="Times New Roman" w:hAnsi="Times New Roman" w:cs="Times New Roman"/>
          <w:sz w:val="24"/>
          <w:szCs w:val="24"/>
        </w:rPr>
        <w:t xml:space="preserve">A partir del triángulo acumulado se calcularon los FDI, obteniendo el patrón de desarrollo implícito por período. En línea con el enfoque actuarial estándar, los FDI se estimaron a partir de promedios ponderados por volumen, y se revisó su estabilidad entre períodos para evitar observaciones anómalas sesguen la proyección. Para extrapolar y </w:t>
      </w:r>
      <w:proofErr w:type="spellStart"/>
      <w:r w:rsidRPr="00EA4C1F">
        <w:rPr>
          <w:rFonts w:ascii="Times New Roman" w:eastAsia="Times New Roman" w:hAnsi="Times New Roman" w:cs="Times New Roman"/>
          <w:sz w:val="24"/>
          <w:szCs w:val="24"/>
        </w:rPr>
        <w:t>sualizar</w:t>
      </w:r>
      <w:proofErr w:type="spellEnd"/>
      <w:r w:rsidRPr="00EA4C1F">
        <w:rPr>
          <w:rFonts w:ascii="Times New Roman" w:eastAsia="Times New Roman" w:hAnsi="Times New Roman" w:cs="Times New Roman"/>
          <w:sz w:val="24"/>
          <w:szCs w:val="24"/>
        </w:rPr>
        <w:t xml:space="preserve"> la cola, se ajustó la serie </w:t>
      </w:r>
      <w:r w:rsidRPr="00EA4C1F">
        <w:rPr>
          <w:rFonts w:ascii="Times New Roman" w:eastAsia="Times New Roman" w:hAnsi="Times New Roman" w:cs="Times New Roman"/>
          <w:sz w:val="24"/>
          <w:szCs w:val="24"/>
        </w:rPr>
        <w:lastRenderedPageBreak/>
        <w:t xml:space="preserve">de factores a una función de tipo potencia inversa, que permite representar una convergencia gradual hacia el desarrollo completo a medida que aumenta la antigüedad. </w:t>
      </w:r>
    </w:p>
    <w:p w14:paraId="0000013D" w14:textId="77777777" w:rsidR="00E6009A" w:rsidRPr="00EA4C1F" w:rsidRDefault="00000000" w:rsidP="00EA4C1F">
      <w:pPr>
        <w:spacing w:line="480" w:lineRule="auto"/>
        <w:jc w:val="both"/>
        <w:rPr>
          <w:rFonts w:ascii="Times New Roman" w:eastAsia="Times New Roman" w:hAnsi="Times New Roman" w:cs="Times New Roman"/>
        </w:rPr>
      </w:pPr>
      <w:r w:rsidRPr="00EA4C1F">
        <w:rPr>
          <w:rFonts w:ascii="Times New Roman" w:eastAsia="Times New Roman" w:hAnsi="Times New Roman" w:cs="Times New Roman"/>
          <w:noProof/>
        </w:rPr>
        <w:drawing>
          <wp:inline distT="114300" distB="114300" distL="114300" distR="114300" wp14:anchorId="432604D2" wp14:editId="2493C2D5">
            <wp:extent cx="3910013" cy="2349767"/>
            <wp:effectExtent l="0" t="0" r="0" b="0"/>
            <wp:docPr id="24"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26"/>
                    <a:srcRect/>
                    <a:stretch>
                      <a:fillRect/>
                    </a:stretch>
                  </pic:blipFill>
                  <pic:spPr>
                    <a:xfrm>
                      <a:off x="0" y="0"/>
                      <a:ext cx="3910013" cy="2349767"/>
                    </a:xfrm>
                    <a:prstGeom prst="rect">
                      <a:avLst/>
                    </a:prstGeom>
                    <a:ln/>
                  </pic:spPr>
                </pic:pic>
              </a:graphicData>
            </a:graphic>
          </wp:inline>
        </w:drawing>
      </w:r>
    </w:p>
    <w:p w14:paraId="0000013E" w14:textId="77777777" w:rsidR="00E6009A" w:rsidRPr="00EA4C1F" w:rsidRDefault="00000000" w:rsidP="00EA4C1F">
      <w:pPr>
        <w:spacing w:line="480" w:lineRule="auto"/>
        <w:jc w:val="both"/>
        <w:rPr>
          <w:rFonts w:ascii="Times New Roman" w:eastAsia="Times New Roman" w:hAnsi="Times New Roman" w:cs="Times New Roman"/>
        </w:rPr>
      </w:pPr>
      <w:r w:rsidRPr="00EA4C1F">
        <w:rPr>
          <w:rFonts w:ascii="Times New Roman" w:eastAsia="Times New Roman" w:hAnsi="Times New Roman" w:cs="Times New Roman"/>
        </w:rPr>
        <w:t>Finalmente, se calcularon los FDA teniendo en cuenta los nuevos factores estimados y se proyecta el triángulo, completando así, cada desarrollo faltante por año de ocurrencia. La matriz resultante constituye la base del cálculo en el próximo bloque.</w:t>
      </w:r>
    </w:p>
    <w:p w14:paraId="0000013F" w14:textId="77777777" w:rsidR="00E6009A" w:rsidRPr="00EA4C1F" w:rsidRDefault="00000000" w:rsidP="00EA4C1F">
      <w:pPr>
        <w:spacing w:line="480" w:lineRule="auto"/>
        <w:jc w:val="both"/>
        <w:rPr>
          <w:rFonts w:ascii="Times New Roman" w:eastAsia="Times New Roman" w:hAnsi="Times New Roman" w:cs="Times New Roman"/>
        </w:rPr>
      </w:pPr>
      <w:r w:rsidRPr="00EA4C1F">
        <w:rPr>
          <w:rFonts w:ascii="Times New Roman" w:eastAsia="Times New Roman" w:hAnsi="Times New Roman" w:cs="Times New Roman"/>
          <w:noProof/>
        </w:rPr>
        <w:drawing>
          <wp:inline distT="114300" distB="114300" distL="114300" distR="114300" wp14:anchorId="53A63759" wp14:editId="2AA64699">
            <wp:extent cx="5943600" cy="1066800"/>
            <wp:effectExtent l="0" t="0" r="0" b="0"/>
            <wp:docPr id="5"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7"/>
                    <a:srcRect/>
                    <a:stretch>
                      <a:fillRect/>
                    </a:stretch>
                  </pic:blipFill>
                  <pic:spPr>
                    <a:xfrm>
                      <a:off x="0" y="0"/>
                      <a:ext cx="5943600" cy="1066800"/>
                    </a:xfrm>
                    <a:prstGeom prst="rect">
                      <a:avLst/>
                    </a:prstGeom>
                    <a:ln/>
                  </pic:spPr>
                </pic:pic>
              </a:graphicData>
            </a:graphic>
          </wp:inline>
        </w:drawing>
      </w:r>
    </w:p>
    <w:p w14:paraId="00000140" w14:textId="77777777" w:rsidR="00E6009A" w:rsidRPr="00EA4C1F" w:rsidRDefault="00000000" w:rsidP="00EA4C1F">
      <w:pPr>
        <w:spacing w:line="480" w:lineRule="auto"/>
        <w:jc w:val="both"/>
        <w:rPr>
          <w:rFonts w:ascii="Times New Roman" w:eastAsia="Times New Roman" w:hAnsi="Times New Roman" w:cs="Times New Roman"/>
        </w:rPr>
      </w:pPr>
      <w:r w:rsidRPr="00EA4C1F">
        <w:rPr>
          <w:rFonts w:ascii="Times New Roman" w:eastAsia="Times New Roman" w:hAnsi="Times New Roman" w:cs="Times New Roman"/>
        </w:rPr>
        <w:t>Con el fin de tener una base de comparación, se presenta a continuación el IBNR estimado base hasta este punto:</w:t>
      </w:r>
    </w:p>
    <w:p w14:paraId="00000141" w14:textId="77777777" w:rsidR="00E6009A" w:rsidRPr="00EA4C1F" w:rsidRDefault="00000000" w:rsidP="00EA4C1F">
      <w:pPr>
        <w:spacing w:line="480" w:lineRule="auto"/>
        <w:jc w:val="both"/>
        <w:rPr>
          <w:rFonts w:ascii="Times New Roman" w:eastAsia="Times New Roman" w:hAnsi="Times New Roman" w:cs="Times New Roman"/>
        </w:rPr>
      </w:pPr>
      <w:r w:rsidRPr="00EA4C1F">
        <w:rPr>
          <w:rFonts w:ascii="Times New Roman" w:eastAsia="Times New Roman" w:hAnsi="Times New Roman" w:cs="Times New Roman"/>
          <w:noProof/>
        </w:rPr>
        <w:drawing>
          <wp:inline distT="114300" distB="114300" distL="114300" distR="114300" wp14:anchorId="47EF1953" wp14:editId="3AAB5267">
            <wp:extent cx="2947988" cy="777491"/>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8"/>
                    <a:srcRect/>
                    <a:stretch>
                      <a:fillRect/>
                    </a:stretch>
                  </pic:blipFill>
                  <pic:spPr>
                    <a:xfrm>
                      <a:off x="0" y="0"/>
                      <a:ext cx="2947988" cy="777491"/>
                    </a:xfrm>
                    <a:prstGeom prst="rect">
                      <a:avLst/>
                    </a:prstGeom>
                    <a:ln/>
                  </pic:spPr>
                </pic:pic>
              </a:graphicData>
            </a:graphic>
          </wp:inline>
        </w:drawing>
      </w:r>
    </w:p>
    <w:p w14:paraId="00000142" w14:textId="77777777" w:rsidR="00E6009A" w:rsidRPr="00EA4C1F" w:rsidRDefault="00000000" w:rsidP="00EA4C1F">
      <w:pPr>
        <w:pStyle w:val="Heading3"/>
        <w:numPr>
          <w:ilvl w:val="2"/>
          <w:numId w:val="3"/>
        </w:numPr>
        <w:spacing w:line="480" w:lineRule="auto"/>
        <w:ind w:hanging="360"/>
        <w:jc w:val="both"/>
        <w:rPr>
          <w:rFonts w:ascii="Times New Roman" w:eastAsia="Times New Roman" w:hAnsi="Times New Roman" w:cs="Times New Roman"/>
        </w:rPr>
      </w:pPr>
      <w:bookmarkStart w:id="66" w:name="_heading=h.btxp0sdlok32" w:colFirst="0" w:colLast="0"/>
      <w:bookmarkEnd w:id="66"/>
      <w:r w:rsidRPr="00EA4C1F">
        <w:rPr>
          <w:rFonts w:ascii="Times New Roman" w:eastAsia="Times New Roman" w:hAnsi="Times New Roman" w:cs="Times New Roman"/>
        </w:rPr>
        <w:lastRenderedPageBreak/>
        <w:t>Factor de Descuento</w:t>
      </w:r>
    </w:p>
    <w:p w14:paraId="00000143"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En línea con IFRS 17, se adoptó un enfoque top-</w:t>
      </w:r>
      <w:proofErr w:type="spellStart"/>
      <w:r w:rsidRPr="00EA4C1F">
        <w:rPr>
          <w:rFonts w:ascii="Times New Roman" w:eastAsia="Times New Roman" w:hAnsi="Times New Roman" w:cs="Times New Roman"/>
          <w:sz w:val="24"/>
          <w:szCs w:val="24"/>
        </w:rPr>
        <w:t>down</w:t>
      </w:r>
      <w:proofErr w:type="spellEnd"/>
      <w:r w:rsidRPr="00EA4C1F">
        <w:rPr>
          <w:rFonts w:ascii="Times New Roman" w:eastAsia="Times New Roman" w:hAnsi="Times New Roman" w:cs="Times New Roman"/>
          <w:sz w:val="24"/>
          <w:szCs w:val="24"/>
        </w:rPr>
        <w:t xml:space="preserve">, partiendo de una curva “observable” inferida desde instrumentos de mercado y depurando los componentes de los precios que no corresponden al pasivo a medir, como el riesgo de crédito. Dado que los flujos del pasivo están sujetos a la inflación futura, se confeccionó una cartera de 15 bonos ajustados por el índice CER, el cual, es un índice proxy para ajustar por inflación, manteniendo así, la consistencia entre la unidad de medida de los “cash </w:t>
      </w:r>
      <w:proofErr w:type="spellStart"/>
      <w:r w:rsidRPr="00EA4C1F">
        <w:rPr>
          <w:rFonts w:ascii="Times New Roman" w:eastAsia="Times New Roman" w:hAnsi="Times New Roman" w:cs="Times New Roman"/>
          <w:sz w:val="24"/>
          <w:szCs w:val="24"/>
        </w:rPr>
        <w:t>flows</w:t>
      </w:r>
      <w:proofErr w:type="spellEnd"/>
      <w:r w:rsidRPr="00EA4C1F">
        <w:rPr>
          <w:rFonts w:ascii="Times New Roman" w:eastAsia="Times New Roman" w:hAnsi="Times New Roman" w:cs="Times New Roman"/>
          <w:sz w:val="24"/>
          <w:szCs w:val="24"/>
        </w:rPr>
        <w:t>” y la curva de descuento.</w:t>
      </w:r>
    </w:p>
    <w:p w14:paraId="00000144"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noProof/>
          <w:sz w:val="24"/>
          <w:szCs w:val="24"/>
        </w:rPr>
        <w:drawing>
          <wp:inline distT="114300" distB="114300" distL="114300" distR="114300" wp14:anchorId="59851DAC" wp14:editId="62D02AAC">
            <wp:extent cx="1818901" cy="2495351"/>
            <wp:effectExtent l="0" t="0" r="0" b="0"/>
            <wp:docPr id="4"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29"/>
                    <a:srcRect/>
                    <a:stretch>
                      <a:fillRect/>
                    </a:stretch>
                  </pic:blipFill>
                  <pic:spPr>
                    <a:xfrm>
                      <a:off x="0" y="0"/>
                      <a:ext cx="1818901" cy="2495351"/>
                    </a:xfrm>
                    <a:prstGeom prst="rect">
                      <a:avLst/>
                    </a:prstGeom>
                    <a:ln/>
                  </pic:spPr>
                </pic:pic>
              </a:graphicData>
            </a:graphic>
          </wp:inline>
        </w:drawing>
      </w:r>
    </w:p>
    <w:p w14:paraId="00000145"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Luego, con el objetivo de excluir el riesgo de crédito de los bonos soberanos, se estimó un ajuste de crédito mediante un proxy de probabilidad de default consistente con el riesgo soberano y una LGD de 60%. Dicho proxy de PD se basó en Probabilidades de Default acumuladas promedio históricas estimadas por Fitch Ratings para soberanos con rating CCC. Interpolando y extrapolando los valores de PD, se llegó a la siguiente curva:</w:t>
      </w:r>
    </w:p>
    <w:p w14:paraId="00000146" w14:textId="77777777" w:rsidR="00E6009A" w:rsidRPr="00EA4C1F" w:rsidRDefault="00000000" w:rsidP="00EA4C1F">
      <w:pPr>
        <w:spacing w:line="480" w:lineRule="auto"/>
        <w:jc w:val="both"/>
        <w:rPr>
          <w:rFonts w:ascii="Times New Roman" w:eastAsia="Times New Roman" w:hAnsi="Times New Roman" w:cs="Times New Roman"/>
        </w:rPr>
      </w:pPr>
      <w:r w:rsidRPr="00EA4C1F">
        <w:rPr>
          <w:rFonts w:ascii="Times New Roman" w:eastAsia="Times New Roman" w:hAnsi="Times New Roman" w:cs="Times New Roman"/>
          <w:noProof/>
        </w:rPr>
        <w:lastRenderedPageBreak/>
        <w:drawing>
          <wp:inline distT="114300" distB="114300" distL="114300" distR="114300" wp14:anchorId="6701E47F" wp14:editId="4EA7B813">
            <wp:extent cx="4062413" cy="2437448"/>
            <wp:effectExtent l="0" t="0" r="0" b="0"/>
            <wp:docPr id="28"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0"/>
                    <a:srcRect/>
                    <a:stretch>
                      <a:fillRect/>
                    </a:stretch>
                  </pic:blipFill>
                  <pic:spPr>
                    <a:xfrm>
                      <a:off x="0" y="0"/>
                      <a:ext cx="4062413" cy="2437448"/>
                    </a:xfrm>
                    <a:prstGeom prst="rect">
                      <a:avLst/>
                    </a:prstGeom>
                    <a:ln/>
                  </pic:spPr>
                </pic:pic>
              </a:graphicData>
            </a:graphic>
          </wp:inline>
        </w:drawing>
      </w:r>
    </w:p>
    <w:p w14:paraId="00000147"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A partir de la estructura temporal de PD y el supuesto de LGD, se derivaron flujos esperados para los instrumentos y se calibró una curva de tasas cero mediante la parametrización de Nelson–Siegel minimizando errores de precio.  </w:t>
      </w:r>
      <w:r w:rsidRPr="00EA4C1F">
        <w:rPr>
          <w:rFonts w:ascii="Times New Roman" w:eastAsia="Times New Roman" w:hAnsi="Times New Roman" w:cs="Times New Roman"/>
          <w:noProof/>
          <w:sz w:val="24"/>
          <w:szCs w:val="24"/>
        </w:rPr>
        <w:drawing>
          <wp:inline distT="114300" distB="114300" distL="114300" distR="114300" wp14:anchorId="134D85E0" wp14:editId="2015951B">
            <wp:extent cx="3608960" cy="2168846"/>
            <wp:effectExtent l="0" t="0" r="0" b="0"/>
            <wp:docPr id="13"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1"/>
                    <a:srcRect/>
                    <a:stretch>
                      <a:fillRect/>
                    </a:stretch>
                  </pic:blipFill>
                  <pic:spPr>
                    <a:xfrm>
                      <a:off x="0" y="0"/>
                      <a:ext cx="3608960" cy="2168846"/>
                    </a:xfrm>
                    <a:prstGeom prst="rect">
                      <a:avLst/>
                    </a:prstGeom>
                    <a:ln/>
                  </pic:spPr>
                </pic:pic>
              </a:graphicData>
            </a:graphic>
          </wp:inline>
        </w:drawing>
      </w:r>
    </w:p>
    <w:p w14:paraId="00000148"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Se observa </w:t>
      </w:r>
      <w:proofErr w:type="gramStart"/>
      <w:r w:rsidRPr="00EA4C1F">
        <w:rPr>
          <w:rFonts w:ascii="Times New Roman" w:eastAsia="Times New Roman" w:hAnsi="Times New Roman" w:cs="Times New Roman"/>
          <w:sz w:val="24"/>
          <w:szCs w:val="24"/>
        </w:rPr>
        <w:t>que</w:t>
      </w:r>
      <w:proofErr w:type="gramEnd"/>
      <w:r w:rsidRPr="00EA4C1F">
        <w:rPr>
          <w:rFonts w:ascii="Times New Roman" w:eastAsia="Times New Roman" w:hAnsi="Times New Roman" w:cs="Times New Roman"/>
          <w:sz w:val="24"/>
          <w:szCs w:val="24"/>
        </w:rPr>
        <w:t xml:space="preserve"> en el corto plazo, la curva depurada de riesgo de crédito presenta tasas cero negativas. Esto es consistente con un soberano de perfil crediticio CCC, dado que el riesgo de default se concentra en los primeros años. Bajo los supuestos de PD/LGD, el valor esperado de los cobros contractuales o del recuperó puede ser menor al monto invertido en el corto plazo, haciendo que la prima por riesgo de crédito tenga un gran peso en el precio. Al depurar dicho componente, la tasa implícita puede alcanzar valores negativos al inicio, pero a medida que el crecimiento marginal de la PD se reduce, las tasas convergen gradualmente a valores positivos.</w:t>
      </w:r>
    </w:p>
    <w:p w14:paraId="00000149"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lastRenderedPageBreak/>
        <w:t xml:space="preserve">Una vez obtenida la curva de tasas libres de riesgo, se reordena el triángulo de siniestros incurridos según la metodología y se aplica la tasa correspondiente a cada celda, partiendo del año 2024. Por </w:t>
      </w:r>
      <w:proofErr w:type="gramStart"/>
      <w:r w:rsidRPr="00EA4C1F">
        <w:rPr>
          <w:rFonts w:ascii="Times New Roman" w:eastAsia="Times New Roman" w:hAnsi="Times New Roman" w:cs="Times New Roman"/>
          <w:sz w:val="24"/>
          <w:szCs w:val="24"/>
        </w:rPr>
        <w:t>último</w:t>
      </w:r>
      <w:proofErr w:type="gramEnd"/>
      <w:r w:rsidRPr="00EA4C1F">
        <w:rPr>
          <w:rFonts w:ascii="Times New Roman" w:eastAsia="Times New Roman" w:hAnsi="Times New Roman" w:cs="Times New Roman"/>
          <w:sz w:val="24"/>
          <w:szCs w:val="24"/>
        </w:rPr>
        <w:t xml:space="preserve"> se agrega por columna, obteniendo así, el valor presente del flujo de sinestro del seguro.</w:t>
      </w:r>
    </w:p>
    <w:p w14:paraId="0000014A"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noProof/>
          <w:sz w:val="24"/>
          <w:szCs w:val="24"/>
        </w:rPr>
        <w:drawing>
          <wp:inline distT="114300" distB="114300" distL="114300" distR="114300" wp14:anchorId="7705DF28" wp14:editId="374F0422">
            <wp:extent cx="5943600" cy="736600"/>
            <wp:effectExtent l="0" t="0" r="0" b="0"/>
            <wp:docPr id="7"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32"/>
                    <a:srcRect/>
                    <a:stretch>
                      <a:fillRect/>
                    </a:stretch>
                  </pic:blipFill>
                  <pic:spPr>
                    <a:xfrm>
                      <a:off x="0" y="0"/>
                      <a:ext cx="5943600" cy="736600"/>
                    </a:xfrm>
                    <a:prstGeom prst="rect">
                      <a:avLst/>
                    </a:prstGeom>
                    <a:ln/>
                  </pic:spPr>
                </pic:pic>
              </a:graphicData>
            </a:graphic>
          </wp:inline>
        </w:drawing>
      </w:r>
    </w:p>
    <w:p w14:paraId="0000014B"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El resultado obtenido en comparación con el segmento anterior es el siguiente para cada </w:t>
      </w:r>
      <w:proofErr w:type="spellStart"/>
      <w:r w:rsidRPr="00EA4C1F">
        <w:rPr>
          <w:rFonts w:ascii="Times New Roman" w:eastAsia="Times New Roman" w:hAnsi="Times New Roman" w:cs="Times New Roman"/>
          <w:sz w:val="24"/>
          <w:szCs w:val="24"/>
        </w:rPr>
        <w:t>subramo</w:t>
      </w:r>
      <w:proofErr w:type="spellEnd"/>
      <w:r w:rsidRPr="00EA4C1F">
        <w:rPr>
          <w:rFonts w:ascii="Times New Roman" w:eastAsia="Times New Roman" w:hAnsi="Times New Roman" w:cs="Times New Roman"/>
          <w:sz w:val="24"/>
          <w:szCs w:val="24"/>
        </w:rPr>
        <w:t>:</w:t>
      </w:r>
    </w:p>
    <w:p w14:paraId="0000014C" w14:textId="77777777" w:rsidR="00E6009A" w:rsidRPr="00EA4C1F" w:rsidRDefault="00000000" w:rsidP="00EA4C1F">
      <w:pPr>
        <w:jc w:val="both"/>
        <w:rPr>
          <w:rFonts w:ascii="Times New Roman" w:hAnsi="Times New Roman" w:cs="Times New Roman"/>
        </w:rPr>
      </w:pPr>
      <w:r w:rsidRPr="00EA4C1F">
        <w:rPr>
          <w:rFonts w:ascii="Times New Roman" w:hAnsi="Times New Roman" w:cs="Times New Roman"/>
          <w:noProof/>
        </w:rPr>
        <w:drawing>
          <wp:inline distT="114300" distB="114300" distL="114300" distR="114300" wp14:anchorId="6D5E56E7" wp14:editId="5738D1DB">
            <wp:extent cx="5943600" cy="571500"/>
            <wp:effectExtent l="0" t="0" r="0" b="0"/>
            <wp:docPr id="22"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33"/>
                    <a:srcRect/>
                    <a:stretch>
                      <a:fillRect/>
                    </a:stretch>
                  </pic:blipFill>
                  <pic:spPr>
                    <a:xfrm>
                      <a:off x="0" y="0"/>
                      <a:ext cx="5943600" cy="571500"/>
                    </a:xfrm>
                    <a:prstGeom prst="rect">
                      <a:avLst/>
                    </a:prstGeom>
                    <a:ln/>
                  </pic:spPr>
                </pic:pic>
              </a:graphicData>
            </a:graphic>
          </wp:inline>
        </w:drawing>
      </w:r>
    </w:p>
    <w:p w14:paraId="0000014D" w14:textId="77777777" w:rsidR="00E6009A" w:rsidRPr="00EA4C1F" w:rsidRDefault="00000000" w:rsidP="00EA4C1F">
      <w:pPr>
        <w:pStyle w:val="Heading3"/>
        <w:numPr>
          <w:ilvl w:val="2"/>
          <w:numId w:val="3"/>
        </w:numPr>
        <w:ind w:hanging="360"/>
        <w:jc w:val="both"/>
        <w:rPr>
          <w:rFonts w:ascii="Times New Roman" w:hAnsi="Times New Roman" w:cs="Times New Roman"/>
        </w:rPr>
      </w:pPr>
      <w:bookmarkStart w:id="67" w:name="_heading=h.96zg1si9czlb" w:colFirst="0" w:colLast="0"/>
      <w:bookmarkEnd w:id="67"/>
      <w:r w:rsidRPr="00EA4C1F">
        <w:rPr>
          <w:rFonts w:ascii="Times New Roman" w:hAnsi="Times New Roman" w:cs="Times New Roman"/>
        </w:rPr>
        <w:t>Ajuste de riesgo No Financiero</w:t>
      </w:r>
    </w:p>
    <w:p w14:paraId="0000014E" w14:textId="77777777" w:rsidR="00E6009A" w:rsidRPr="00EA4C1F" w:rsidRDefault="00E6009A" w:rsidP="00EA4C1F">
      <w:pPr>
        <w:jc w:val="both"/>
        <w:rPr>
          <w:rFonts w:ascii="Times New Roman" w:hAnsi="Times New Roman" w:cs="Times New Roman"/>
        </w:rPr>
      </w:pPr>
    </w:p>
    <w:p w14:paraId="0000014F"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El Ajuste de Riesgo No Financiero se estimó como la compensación requerida por la incertidumbre inherente a los flujos futuros del seguro. Se determinó en términos de valor presente utilizando la misma curva de descuento aplicada a la estimación del pasivo, a fin de no sobrerrepresentar la incertidumbre de los pagos más lejanos.</w:t>
      </w:r>
    </w:p>
    <w:p w14:paraId="00000150"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Se construyó una distribución empírica del valor presente de los flujos mediante el método de </w:t>
      </w:r>
      <w:proofErr w:type="spellStart"/>
      <w:r w:rsidRPr="00EA4C1F">
        <w:rPr>
          <w:rFonts w:ascii="Times New Roman" w:eastAsia="Times New Roman" w:hAnsi="Times New Roman" w:cs="Times New Roman"/>
          <w:sz w:val="24"/>
          <w:szCs w:val="24"/>
        </w:rPr>
        <w:t>remuestreo</w:t>
      </w:r>
      <w:proofErr w:type="spellEnd"/>
      <w:r w:rsidRPr="00EA4C1F">
        <w:rPr>
          <w:rFonts w:ascii="Times New Roman" w:eastAsia="Times New Roman" w:hAnsi="Times New Roman" w:cs="Times New Roman"/>
          <w:sz w:val="24"/>
          <w:szCs w:val="24"/>
        </w:rPr>
        <w:t xml:space="preserve"> explicado en el Marco Metodológico, simulando así, 200.000 instancias de flujos futuros descontados. A partir de dichas simulaciones, se armó una distribución por </w:t>
      </w:r>
      <w:proofErr w:type="spellStart"/>
      <w:r w:rsidRPr="00EA4C1F">
        <w:rPr>
          <w:rFonts w:ascii="Times New Roman" w:eastAsia="Times New Roman" w:hAnsi="Times New Roman" w:cs="Times New Roman"/>
          <w:sz w:val="24"/>
          <w:szCs w:val="24"/>
        </w:rPr>
        <w:t>sub-ramo</w:t>
      </w:r>
      <w:proofErr w:type="spellEnd"/>
      <w:r w:rsidRPr="00EA4C1F">
        <w:rPr>
          <w:rFonts w:ascii="Times New Roman" w:eastAsia="Times New Roman" w:hAnsi="Times New Roman" w:cs="Times New Roman"/>
          <w:sz w:val="24"/>
          <w:szCs w:val="24"/>
        </w:rPr>
        <w:t xml:space="preserve"> y se analizaron distintos niveles de confianza para las medidas de riesgo VaR y </w:t>
      </w:r>
      <w:proofErr w:type="spellStart"/>
      <w:r w:rsidRPr="00EA4C1F">
        <w:rPr>
          <w:rFonts w:ascii="Times New Roman" w:eastAsia="Times New Roman" w:hAnsi="Times New Roman" w:cs="Times New Roman"/>
          <w:sz w:val="24"/>
          <w:szCs w:val="24"/>
        </w:rPr>
        <w:t>TVaR</w:t>
      </w:r>
      <w:proofErr w:type="spellEnd"/>
      <w:r w:rsidRPr="00EA4C1F">
        <w:rPr>
          <w:rFonts w:ascii="Times New Roman" w:eastAsia="Times New Roman" w:hAnsi="Times New Roman" w:cs="Times New Roman"/>
          <w:sz w:val="24"/>
          <w:szCs w:val="24"/>
        </w:rPr>
        <w:t xml:space="preserve">. Para los tres </w:t>
      </w:r>
      <w:proofErr w:type="spellStart"/>
      <w:r w:rsidRPr="00EA4C1F">
        <w:rPr>
          <w:rFonts w:ascii="Times New Roman" w:eastAsia="Times New Roman" w:hAnsi="Times New Roman" w:cs="Times New Roman"/>
          <w:sz w:val="24"/>
          <w:szCs w:val="24"/>
        </w:rPr>
        <w:t>sub-ramos</w:t>
      </w:r>
      <w:proofErr w:type="spellEnd"/>
      <w:r w:rsidRPr="00EA4C1F">
        <w:rPr>
          <w:rFonts w:ascii="Times New Roman" w:eastAsia="Times New Roman" w:hAnsi="Times New Roman" w:cs="Times New Roman"/>
          <w:sz w:val="24"/>
          <w:szCs w:val="24"/>
        </w:rPr>
        <w:t xml:space="preserve"> se decidió utilizar el </w:t>
      </w:r>
      <w:proofErr w:type="spellStart"/>
      <w:r w:rsidRPr="00EA4C1F">
        <w:rPr>
          <w:rFonts w:ascii="Times New Roman" w:eastAsia="Times New Roman" w:hAnsi="Times New Roman" w:cs="Times New Roman"/>
          <w:sz w:val="24"/>
          <w:szCs w:val="24"/>
        </w:rPr>
        <w:t>TVaR</w:t>
      </w:r>
      <w:proofErr w:type="spellEnd"/>
      <w:r w:rsidRPr="00EA4C1F">
        <w:rPr>
          <w:rFonts w:ascii="Times New Roman" w:eastAsia="Times New Roman" w:hAnsi="Times New Roman" w:cs="Times New Roman"/>
          <w:sz w:val="24"/>
          <w:szCs w:val="24"/>
        </w:rPr>
        <w:t xml:space="preserve"> como medida de riesgo y el percentil 70 como nivel de confianza para el cálculo ya que presentan distribuciones asimétricas con cola pesada hacia la derecha. Con esta elección, se busca un equilibrio entre capturar un margen de riesgo de las colas </w:t>
      </w:r>
      <w:r w:rsidRPr="00EA4C1F">
        <w:rPr>
          <w:rFonts w:ascii="Times New Roman" w:eastAsia="Times New Roman" w:hAnsi="Times New Roman" w:cs="Times New Roman"/>
          <w:sz w:val="24"/>
          <w:szCs w:val="24"/>
        </w:rPr>
        <w:lastRenderedPageBreak/>
        <w:t>y preservar estabilidad en la estimación, evitando la sensibilidad a eventos extremos asociada a percentiles superiores.</w:t>
      </w:r>
    </w:p>
    <w:p w14:paraId="00000151"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noProof/>
          <w:sz w:val="24"/>
          <w:szCs w:val="24"/>
        </w:rPr>
        <w:drawing>
          <wp:inline distT="114300" distB="114300" distL="114300" distR="114300" wp14:anchorId="39D794CD" wp14:editId="1E7458F0">
            <wp:extent cx="3714794" cy="2767013"/>
            <wp:effectExtent l="0" t="0" r="0" b="0"/>
            <wp:docPr id="12"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34"/>
                    <a:srcRect/>
                    <a:stretch>
                      <a:fillRect/>
                    </a:stretch>
                  </pic:blipFill>
                  <pic:spPr>
                    <a:xfrm>
                      <a:off x="0" y="0"/>
                      <a:ext cx="3714794" cy="2767013"/>
                    </a:xfrm>
                    <a:prstGeom prst="rect">
                      <a:avLst/>
                    </a:prstGeom>
                    <a:ln/>
                  </pic:spPr>
                </pic:pic>
              </a:graphicData>
            </a:graphic>
          </wp:inline>
        </w:drawing>
      </w:r>
    </w:p>
    <w:p w14:paraId="00000152"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Finalmente, se estimó el Ajuste por Riesgo No Financiero y el pasivo bajo IFRS 17. Este último se determinó como la suma de la estimación del pasivo descontado y dicho ajuste, obteniéndose así la estimación total compatible con IFRS 17 para cada </w:t>
      </w:r>
      <w:proofErr w:type="spellStart"/>
      <w:r w:rsidRPr="00EA4C1F">
        <w:rPr>
          <w:rFonts w:ascii="Times New Roman" w:eastAsia="Times New Roman" w:hAnsi="Times New Roman" w:cs="Times New Roman"/>
          <w:sz w:val="24"/>
          <w:szCs w:val="24"/>
        </w:rPr>
        <w:t>sub-ramo</w:t>
      </w:r>
      <w:proofErr w:type="spellEnd"/>
      <w:r w:rsidRPr="00EA4C1F">
        <w:rPr>
          <w:rFonts w:ascii="Times New Roman" w:eastAsia="Times New Roman" w:hAnsi="Times New Roman" w:cs="Times New Roman"/>
          <w:sz w:val="24"/>
          <w:szCs w:val="24"/>
        </w:rPr>
        <w:t xml:space="preserve">. </w:t>
      </w:r>
    </w:p>
    <w:p w14:paraId="00000153" w14:textId="77777777" w:rsidR="00E6009A" w:rsidRPr="00EA4C1F" w:rsidRDefault="00000000" w:rsidP="00EA4C1F">
      <w:pPr>
        <w:jc w:val="both"/>
        <w:rPr>
          <w:rFonts w:ascii="Times New Roman" w:hAnsi="Times New Roman" w:cs="Times New Roman"/>
        </w:rPr>
      </w:pPr>
      <w:r w:rsidRPr="00EA4C1F">
        <w:rPr>
          <w:rFonts w:ascii="Times New Roman" w:hAnsi="Times New Roman" w:cs="Times New Roman"/>
          <w:noProof/>
        </w:rPr>
        <w:drawing>
          <wp:inline distT="114300" distB="114300" distL="114300" distR="114300" wp14:anchorId="7084A835" wp14:editId="2C35DBDC">
            <wp:extent cx="5943600" cy="558800"/>
            <wp:effectExtent l="0" t="0" r="0" b="0"/>
            <wp:docPr id="18"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5"/>
                    <a:srcRect/>
                    <a:stretch>
                      <a:fillRect/>
                    </a:stretch>
                  </pic:blipFill>
                  <pic:spPr>
                    <a:xfrm>
                      <a:off x="0" y="0"/>
                      <a:ext cx="5943600" cy="558800"/>
                    </a:xfrm>
                    <a:prstGeom prst="rect">
                      <a:avLst/>
                    </a:prstGeom>
                    <a:ln/>
                  </pic:spPr>
                </pic:pic>
              </a:graphicData>
            </a:graphic>
          </wp:inline>
        </w:drawing>
      </w:r>
    </w:p>
    <w:p w14:paraId="00000154" w14:textId="77777777" w:rsidR="00E6009A" w:rsidRPr="00EA4C1F" w:rsidRDefault="00000000" w:rsidP="00EA4C1F">
      <w:pPr>
        <w:pStyle w:val="Heading2"/>
        <w:numPr>
          <w:ilvl w:val="1"/>
          <w:numId w:val="3"/>
        </w:numPr>
        <w:jc w:val="both"/>
        <w:rPr>
          <w:rFonts w:ascii="Times New Roman" w:hAnsi="Times New Roman" w:cs="Times New Roman"/>
        </w:rPr>
      </w:pPr>
      <w:bookmarkStart w:id="68" w:name="_heading=h.i5203ug3lxrm" w:colFirst="0" w:colLast="0"/>
      <w:bookmarkEnd w:id="68"/>
      <w:r w:rsidRPr="00EA4C1F">
        <w:rPr>
          <w:rFonts w:ascii="Times New Roman" w:hAnsi="Times New Roman" w:cs="Times New Roman"/>
        </w:rPr>
        <w:t>Resultados</w:t>
      </w:r>
    </w:p>
    <w:p w14:paraId="00000155"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A continuación, se presentan los resultados obtenidos para cada </w:t>
      </w:r>
      <w:proofErr w:type="spellStart"/>
      <w:r w:rsidRPr="00EA4C1F">
        <w:rPr>
          <w:rFonts w:ascii="Times New Roman" w:eastAsia="Times New Roman" w:hAnsi="Times New Roman" w:cs="Times New Roman"/>
          <w:sz w:val="24"/>
          <w:szCs w:val="24"/>
        </w:rPr>
        <w:t>sub-ramo</w:t>
      </w:r>
      <w:proofErr w:type="spellEnd"/>
      <w:r w:rsidRPr="00EA4C1F">
        <w:rPr>
          <w:rFonts w:ascii="Times New Roman" w:eastAsia="Times New Roman" w:hAnsi="Times New Roman" w:cs="Times New Roman"/>
          <w:sz w:val="24"/>
          <w:szCs w:val="24"/>
        </w:rPr>
        <w:t xml:space="preserve"> bajo ambos marcos normativos. Se expone la estimación de reserva de siniestros IBNR bajo RGAA y la estimación compatible con IFRS 17, desagregando esta última en sus componentes (Estimación de siniestros, efecto del descuento y Ajuste por Riesgo No Financiero). </w:t>
      </w:r>
    </w:p>
    <w:p w14:paraId="00000156"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noProof/>
          <w:sz w:val="24"/>
          <w:szCs w:val="24"/>
        </w:rPr>
        <w:lastRenderedPageBreak/>
        <w:drawing>
          <wp:inline distT="114300" distB="114300" distL="114300" distR="114300" wp14:anchorId="29406243" wp14:editId="260667ED">
            <wp:extent cx="3290888" cy="816995"/>
            <wp:effectExtent l="0" t="0" r="0" b="0"/>
            <wp:docPr id="20"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36"/>
                    <a:srcRect/>
                    <a:stretch>
                      <a:fillRect/>
                    </a:stretch>
                  </pic:blipFill>
                  <pic:spPr>
                    <a:xfrm>
                      <a:off x="0" y="0"/>
                      <a:ext cx="3290888" cy="816995"/>
                    </a:xfrm>
                    <a:prstGeom prst="rect">
                      <a:avLst/>
                    </a:prstGeom>
                    <a:ln/>
                  </pic:spPr>
                </pic:pic>
              </a:graphicData>
            </a:graphic>
          </wp:inline>
        </w:drawing>
      </w:r>
    </w:p>
    <w:p w14:paraId="00000157" w14:textId="77777777" w:rsidR="00E6009A" w:rsidRPr="00EA4C1F" w:rsidRDefault="00E6009A" w:rsidP="00EA4C1F">
      <w:pPr>
        <w:spacing w:line="480" w:lineRule="auto"/>
        <w:jc w:val="both"/>
        <w:rPr>
          <w:rFonts w:ascii="Times New Roman" w:eastAsia="Times New Roman" w:hAnsi="Times New Roman" w:cs="Times New Roman"/>
          <w:sz w:val="24"/>
          <w:szCs w:val="24"/>
        </w:rPr>
      </w:pPr>
    </w:p>
    <w:p w14:paraId="00000158"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noProof/>
          <w:sz w:val="24"/>
          <w:szCs w:val="24"/>
        </w:rPr>
        <w:drawing>
          <wp:inline distT="114300" distB="114300" distL="114300" distR="114300" wp14:anchorId="5ECDC2CA" wp14:editId="16B6BB78">
            <wp:extent cx="5943600" cy="457200"/>
            <wp:effectExtent l="0" t="0" r="0" b="0"/>
            <wp:docPr id="15"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37"/>
                    <a:srcRect/>
                    <a:stretch>
                      <a:fillRect/>
                    </a:stretch>
                  </pic:blipFill>
                  <pic:spPr>
                    <a:xfrm>
                      <a:off x="0" y="0"/>
                      <a:ext cx="5943600" cy="457200"/>
                    </a:xfrm>
                    <a:prstGeom prst="rect">
                      <a:avLst/>
                    </a:prstGeom>
                    <a:ln/>
                  </pic:spPr>
                </pic:pic>
              </a:graphicData>
            </a:graphic>
          </wp:inline>
        </w:drawing>
      </w:r>
    </w:p>
    <w:p w14:paraId="00000159"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En RC Daños a Cosas, el valor presente de los flujos con IFRS 17 resulta inferior a la obtenida bajo RGAA. Sin embargo, al incluir el Ajuste por Riesgo no financiero, la estimación de la reserva supera a la de RGAA. La diferencia en el valor presente de los flujos se explica principalmente por el patrón de desarrollo y su extrapolación: la estimación por Chain Ladder con extrapolación mediante potencia inversa refleja una convergencia relativamente rápida de los factores hacia la unidad, mientras que el esquema del RGAA incorpora un supuesto de cola fija para todos los ramos de cola larga. En este </w:t>
      </w:r>
      <w:proofErr w:type="spellStart"/>
      <w:r w:rsidRPr="00EA4C1F">
        <w:rPr>
          <w:rFonts w:ascii="Times New Roman" w:eastAsia="Times New Roman" w:hAnsi="Times New Roman" w:cs="Times New Roman"/>
          <w:sz w:val="24"/>
          <w:szCs w:val="24"/>
        </w:rPr>
        <w:t>sub-ramo</w:t>
      </w:r>
      <w:proofErr w:type="spellEnd"/>
      <w:r w:rsidRPr="00EA4C1F">
        <w:rPr>
          <w:rFonts w:ascii="Times New Roman" w:eastAsia="Times New Roman" w:hAnsi="Times New Roman" w:cs="Times New Roman"/>
          <w:sz w:val="24"/>
          <w:szCs w:val="24"/>
        </w:rPr>
        <w:t xml:space="preserve">, el efecto del descuento es acotado y el Ajuste de Riesgo No financiero representa una contribución relevante, consistente con la volatilidad observada en la experiencia. </w:t>
      </w:r>
    </w:p>
    <w:p w14:paraId="0000015A"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En los </w:t>
      </w:r>
      <w:proofErr w:type="spellStart"/>
      <w:r w:rsidRPr="00EA4C1F">
        <w:rPr>
          <w:rFonts w:ascii="Times New Roman" w:eastAsia="Times New Roman" w:hAnsi="Times New Roman" w:cs="Times New Roman"/>
          <w:sz w:val="24"/>
          <w:szCs w:val="24"/>
        </w:rPr>
        <w:t>sub-ramos</w:t>
      </w:r>
      <w:proofErr w:type="spellEnd"/>
      <w:r w:rsidRPr="00EA4C1F">
        <w:rPr>
          <w:rFonts w:ascii="Times New Roman" w:eastAsia="Times New Roman" w:hAnsi="Times New Roman" w:cs="Times New Roman"/>
          <w:sz w:val="24"/>
          <w:szCs w:val="24"/>
        </w:rPr>
        <w:t xml:space="preserve"> de Lesiones a 3° (Transportados y No Transportados), la estimación compatible con IFRS 17 supera significativamente a la obtenida bajo RGAA. Este comportamiento es consistente con una cola más prolongada, asociada a litigiosidad y severidad de dichos </w:t>
      </w:r>
      <w:proofErr w:type="spellStart"/>
      <w:r w:rsidRPr="00EA4C1F">
        <w:rPr>
          <w:rFonts w:ascii="Times New Roman" w:eastAsia="Times New Roman" w:hAnsi="Times New Roman" w:cs="Times New Roman"/>
          <w:sz w:val="24"/>
          <w:szCs w:val="24"/>
        </w:rPr>
        <w:t>sub-ramos</w:t>
      </w:r>
      <w:proofErr w:type="spellEnd"/>
      <w:r w:rsidRPr="00EA4C1F">
        <w:rPr>
          <w:rFonts w:ascii="Times New Roman" w:eastAsia="Times New Roman" w:hAnsi="Times New Roman" w:cs="Times New Roman"/>
          <w:sz w:val="24"/>
          <w:szCs w:val="24"/>
        </w:rPr>
        <w:t xml:space="preserve">. Estas características se reflejan en una proyección de siniestros IBNR más elevada bajo el enfoque actuarial. En ambos casos, el factor de descuento reduce el valor presente del pasivo, atenuando parcialmente el efecto de la cola; no obstante, la diferencia respecto de RGAA se mantiene material. Cabe señalar que, en el tramo corto, pueden observarse factores de descuento superiores a 1, producto de tasas cero </w:t>
      </w:r>
      <w:proofErr w:type="gramStart"/>
      <w:r w:rsidRPr="00EA4C1F">
        <w:rPr>
          <w:rFonts w:ascii="Times New Roman" w:eastAsia="Times New Roman" w:hAnsi="Times New Roman" w:cs="Times New Roman"/>
          <w:sz w:val="24"/>
          <w:szCs w:val="24"/>
        </w:rPr>
        <w:t>reales negativas</w:t>
      </w:r>
      <w:proofErr w:type="gramEnd"/>
      <w:r w:rsidRPr="00EA4C1F">
        <w:rPr>
          <w:rFonts w:ascii="Times New Roman" w:eastAsia="Times New Roman" w:hAnsi="Times New Roman" w:cs="Times New Roman"/>
          <w:sz w:val="24"/>
          <w:szCs w:val="24"/>
        </w:rPr>
        <w:t xml:space="preserve">. A pesar de esto, el efecto predominante en horizontes </w:t>
      </w:r>
      <w:r w:rsidRPr="00EA4C1F">
        <w:rPr>
          <w:rFonts w:ascii="Times New Roman" w:eastAsia="Times New Roman" w:hAnsi="Times New Roman" w:cs="Times New Roman"/>
          <w:sz w:val="24"/>
          <w:szCs w:val="24"/>
        </w:rPr>
        <w:lastRenderedPageBreak/>
        <w:t xml:space="preserve">mayores es la reducción del valor presente. El Ajuste de Riesgo No Financiero aporta una capa de prudencia explícita ausente en RGAA y resulta más significativo en aquellos </w:t>
      </w:r>
      <w:proofErr w:type="spellStart"/>
      <w:r w:rsidRPr="00EA4C1F">
        <w:rPr>
          <w:rFonts w:ascii="Times New Roman" w:eastAsia="Times New Roman" w:hAnsi="Times New Roman" w:cs="Times New Roman"/>
          <w:sz w:val="24"/>
          <w:szCs w:val="24"/>
        </w:rPr>
        <w:t>sub-ramos</w:t>
      </w:r>
      <w:proofErr w:type="spellEnd"/>
      <w:r w:rsidRPr="00EA4C1F">
        <w:rPr>
          <w:rFonts w:ascii="Times New Roman" w:eastAsia="Times New Roman" w:hAnsi="Times New Roman" w:cs="Times New Roman"/>
          <w:sz w:val="24"/>
          <w:szCs w:val="24"/>
        </w:rPr>
        <w:t xml:space="preserve"> donde la distribución empírica del valor presente presenta mayor dispersión (particularmente RC Daños a cosas). </w:t>
      </w:r>
    </w:p>
    <w:p w14:paraId="0000015B"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En conjunto, los resultados sugieren que las diferencias entre marcos se explican principalmente por la forma de proyectar el desarrollo tardío (cola) y por la explicitación del ajuste de riesgo no financiero, mientras que el descuento opera como un ajuste financiero que, en promedio, reduce el valor presente de la reserva.</w:t>
      </w:r>
    </w:p>
    <w:p w14:paraId="0000015C" w14:textId="77777777" w:rsidR="00E6009A" w:rsidRPr="00EA4C1F" w:rsidRDefault="00000000" w:rsidP="00EA4C1F">
      <w:pPr>
        <w:pStyle w:val="Heading1"/>
        <w:numPr>
          <w:ilvl w:val="0"/>
          <w:numId w:val="3"/>
        </w:numPr>
      </w:pPr>
      <w:bookmarkStart w:id="69" w:name="_heading=h.fkoqbqxzjx6r" w:colFirst="0" w:colLast="0"/>
      <w:bookmarkEnd w:id="69"/>
      <w:r w:rsidRPr="00EA4C1F">
        <w:t>Conclusiones</w:t>
      </w:r>
    </w:p>
    <w:p w14:paraId="0000015D"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La hipótesis inicial sostiene que los cambios normativos locales no son suficientes para calcular de manera efectiva la reserva IBNR en Responsabilidad Civil Automotor, en comparación con un estándar internacional como IFRS 17. A partir de los resultados obtenidos para RC Daños a Cosas, RC Lesiones a 3° Transportados y RC Lesiones a 3° No Transportados, la conclusión no es del todo </w:t>
      </w:r>
      <w:proofErr w:type="gramStart"/>
      <w:r w:rsidRPr="00EA4C1F">
        <w:rPr>
          <w:rFonts w:ascii="Times New Roman" w:eastAsia="Times New Roman" w:hAnsi="Times New Roman" w:cs="Times New Roman"/>
          <w:sz w:val="24"/>
          <w:szCs w:val="24"/>
        </w:rPr>
        <w:t>evidente .</w:t>
      </w:r>
      <w:proofErr w:type="gramEnd"/>
      <w:r w:rsidRPr="00EA4C1F">
        <w:rPr>
          <w:rFonts w:ascii="Times New Roman" w:eastAsia="Times New Roman" w:hAnsi="Times New Roman" w:cs="Times New Roman"/>
          <w:sz w:val="24"/>
          <w:szCs w:val="24"/>
        </w:rPr>
        <w:t xml:space="preserve"> La hipótesis no se rechaza en términos metodológicos y económicos, pero su aplicabilidad depende del contexto del mercado asegurador local. El RGAA provee un esquema operativo estandarizado, aunque con poca flexibilidad para capturar explícitamente los principales drivers del enfoque internacional: la dinámica de cola por </w:t>
      </w:r>
      <w:proofErr w:type="spellStart"/>
      <w:r w:rsidRPr="00EA4C1F">
        <w:rPr>
          <w:rFonts w:ascii="Times New Roman" w:eastAsia="Times New Roman" w:hAnsi="Times New Roman" w:cs="Times New Roman"/>
          <w:sz w:val="24"/>
          <w:szCs w:val="24"/>
        </w:rPr>
        <w:t>sub-ramo</w:t>
      </w:r>
      <w:proofErr w:type="spellEnd"/>
      <w:r w:rsidRPr="00EA4C1F">
        <w:rPr>
          <w:rFonts w:ascii="Times New Roman" w:eastAsia="Times New Roman" w:hAnsi="Times New Roman" w:cs="Times New Roman"/>
          <w:sz w:val="24"/>
          <w:szCs w:val="24"/>
        </w:rPr>
        <w:t>, el valor tiempo del dinero y la incertidumbre no financiera.</w:t>
      </w:r>
    </w:p>
    <w:p w14:paraId="0000015E"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En primer lugar, el procedimiento de actualización por FACPCE resulta una aproximación adecuada para expresar los siniestros en una unidad homogénea y reducir distorsiones inflacionarias. Si bien no captura de forma perfecta la inflación propia de cada </w:t>
      </w:r>
      <w:proofErr w:type="spellStart"/>
      <w:r w:rsidRPr="00EA4C1F">
        <w:rPr>
          <w:rFonts w:ascii="Times New Roman" w:eastAsia="Times New Roman" w:hAnsi="Times New Roman" w:cs="Times New Roman"/>
          <w:sz w:val="24"/>
          <w:szCs w:val="24"/>
        </w:rPr>
        <w:t>sub-ramo</w:t>
      </w:r>
      <w:proofErr w:type="spellEnd"/>
      <w:r w:rsidRPr="00EA4C1F">
        <w:rPr>
          <w:rFonts w:ascii="Times New Roman" w:eastAsia="Times New Roman" w:hAnsi="Times New Roman" w:cs="Times New Roman"/>
          <w:sz w:val="24"/>
          <w:szCs w:val="24"/>
        </w:rPr>
        <w:t xml:space="preserve">, funciona como proxy razonable del valor real de la variación. No obstante, en segmentos con alta </w:t>
      </w:r>
      <w:r w:rsidRPr="00EA4C1F">
        <w:rPr>
          <w:rFonts w:ascii="Times New Roman" w:eastAsia="Times New Roman" w:hAnsi="Times New Roman" w:cs="Times New Roman"/>
          <w:sz w:val="24"/>
          <w:szCs w:val="24"/>
        </w:rPr>
        <w:lastRenderedPageBreak/>
        <w:t xml:space="preserve">litigiosidad puede existir descalce respecto a la actualización de </w:t>
      </w:r>
      <w:proofErr w:type="gramStart"/>
      <w:r w:rsidRPr="00EA4C1F">
        <w:rPr>
          <w:rFonts w:ascii="Times New Roman" w:eastAsia="Times New Roman" w:hAnsi="Times New Roman" w:cs="Times New Roman"/>
          <w:sz w:val="24"/>
          <w:szCs w:val="24"/>
        </w:rPr>
        <w:t>los mismos</w:t>
      </w:r>
      <w:proofErr w:type="gramEnd"/>
      <w:r w:rsidRPr="00EA4C1F">
        <w:rPr>
          <w:rFonts w:ascii="Times New Roman" w:eastAsia="Times New Roman" w:hAnsi="Times New Roman" w:cs="Times New Roman"/>
          <w:sz w:val="24"/>
          <w:szCs w:val="24"/>
        </w:rPr>
        <w:t>, requiriendo un enfoque más granular.</w:t>
      </w:r>
    </w:p>
    <w:p w14:paraId="0000015F"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En segundo lugar, el tratamiento de la estimación de siniestros bajo RGAA presenta una limitación metodológica. Al apoyarse en un supuesto de factor de cola fijo, para ramos de cola larga, se tiende a no representar la evolución ramos y </w:t>
      </w:r>
      <w:proofErr w:type="spellStart"/>
      <w:r w:rsidRPr="00EA4C1F">
        <w:rPr>
          <w:rFonts w:ascii="Times New Roman" w:eastAsia="Times New Roman" w:hAnsi="Times New Roman" w:cs="Times New Roman"/>
          <w:sz w:val="24"/>
          <w:szCs w:val="24"/>
        </w:rPr>
        <w:t>sub-ramos</w:t>
      </w:r>
      <w:proofErr w:type="spellEnd"/>
      <w:r w:rsidRPr="00EA4C1F">
        <w:rPr>
          <w:rFonts w:ascii="Times New Roman" w:eastAsia="Times New Roman" w:hAnsi="Times New Roman" w:cs="Times New Roman"/>
          <w:sz w:val="24"/>
          <w:szCs w:val="24"/>
        </w:rPr>
        <w:t xml:space="preserve"> con perfiles de desarrollo de siniestros distintos. En esta tesina, la estimación por Chain Ladder con extrapolación por potencia inversa permitió capturar comportamientos característicos de cada </w:t>
      </w:r>
      <w:proofErr w:type="spellStart"/>
      <w:r w:rsidRPr="00EA4C1F">
        <w:rPr>
          <w:rFonts w:ascii="Times New Roman" w:eastAsia="Times New Roman" w:hAnsi="Times New Roman" w:cs="Times New Roman"/>
          <w:sz w:val="24"/>
          <w:szCs w:val="24"/>
        </w:rPr>
        <w:t>sub-ramo</w:t>
      </w:r>
      <w:proofErr w:type="spellEnd"/>
      <w:r w:rsidRPr="00EA4C1F">
        <w:rPr>
          <w:rFonts w:ascii="Times New Roman" w:eastAsia="Times New Roman" w:hAnsi="Times New Roman" w:cs="Times New Roman"/>
          <w:sz w:val="24"/>
          <w:szCs w:val="24"/>
        </w:rPr>
        <w:t xml:space="preserve"> analizado. En RC Daños a Cosas se observó un desarrollo tardío menor que el implícito en la cola fija, mientras que en los </w:t>
      </w:r>
      <w:proofErr w:type="spellStart"/>
      <w:r w:rsidRPr="00EA4C1F">
        <w:rPr>
          <w:rFonts w:ascii="Times New Roman" w:eastAsia="Times New Roman" w:hAnsi="Times New Roman" w:cs="Times New Roman"/>
          <w:sz w:val="24"/>
          <w:szCs w:val="24"/>
        </w:rPr>
        <w:t>sub-ramos</w:t>
      </w:r>
      <w:proofErr w:type="spellEnd"/>
      <w:r w:rsidRPr="00EA4C1F">
        <w:rPr>
          <w:rFonts w:ascii="Times New Roman" w:eastAsia="Times New Roman" w:hAnsi="Times New Roman" w:cs="Times New Roman"/>
          <w:sz w:val="24"/>
          <w:szCs w:val="24"/>
        </w:rPr>
        <w:t xml:space="preserve"> de Lesiones la cola resultó más duradera. Esta metodología premia el buen manejo de cartera de </w:t>
      </w:r>
      <w:proofErr w:type="gramStart"/>
      <w:r w:rsidRPr="00EA4C1F">
        <w:rPr>
          <w:rFonts w:ascii="Times New Roman" w:eastAsia="Times New Roman" w:hAnsi="Times New Roman" w:cs="Times New Roman"/>
          <w:sz w:val="24"/>
          <w:szCs w:val="24"/>
        </w:rPr>
        <w:t>seguros</w:t>
      </w:r>
      <w:proofErr w:type="gramEnd"/>
      <w:r w:rsidRPr="00EA4C1F">
        <w:rPr>
          <w:rFonts w:ascii="Times New Roman" w:eastAsia="Times New Roman" w:hAnsi="Times New Roman" w:cs="Times New Roman"/>
          <w:sz w:val="24"/>
          <w:szCs w:val="24"/>
        </w:rPr>
        <w:t xml:space="preserve"> aunque necesita respaldo empírico para evitar depender excesivamente de supuestos sobre el desarrollo y estabilidad.</w:t>
      </w:r>
    </w:p>
    <w:p w14:paraId="00000160"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En tercer lugar, IFRS 17 exige una medición explícita del factor de descuento coherente con los flujos del pasivo. La implementación top-</w:t>
      </w:r>
      <w:proofErr w:type="spellStart"/>
      <w:r w:rsidRPr="00EA4C1F">
        <w:rPr>
          <w:rFonts w:ascii="Times New Roman" w:eastAsia="Times New Roman" w:hAnsi="Times New Roman" w:cs="Times New Roman"/>
          <w:sz w:val="24"/>
          <w:szCs w:val="24"/>
        </w:rPr>
        <w:t>down</w:t>
      </w:r>
      <w:proofErr w:type="spellEnd"/>
      <w:r w:rsidRPr="00EA4C1F">
        <w:rPr>
          <w:rFonts w:ascii="Times New Roman" w:eastAsia="Times New Roman" w:hAnsi="Times New Roman" w:cs="Times New Roman"/>
          <w:sz w:val="24"/>
          <w:szCs w:val="24"/>
        </w:rPr>
        <w:t xml:space="preserve"> adoptada implica supuestos relevantes (como la selección de instrumentos, depuración de riesgo de crédito, </w:t>
      </w:r>
      <w:proofErr w:type="spellStart"/>
      <w:r w:rsidRPr="00EA4C1F">
        <w:rPr>
          <w:rFonts w:ascii="Times New Roman" w:eastAsia="Times New Roman" w:hAnsi="Times New Roman" w:cs="Times New Roman"/>
          <w:sz w:val="24"/>
          <w:szCs w:val="24"/>
        </w:rPr>
        <w:t>proxies</w:t>
      </w:r>
      <w:proofErr w:type="spellEnd"/>
      <w:r w:rsidRPr="00EA4C1F">
        <w:rPr>
          <w:rFonts w:ascii="Times New Roman" w:eastAsia="Times New Roman" w:hAnsi="Times New Roman" w:cs="Times New Roman"/>
          <w:sz w:val="24"/>
          <w:szCs w:val="24"/>
        </w:rPr>
        <w:t xml:space="preserve"> de PD y LGD; y estabilidad por tramos) que pueden introducir volatilidad y generar inestabilidad en un entorno cambiante como Argentina. En consecuencia, si bien el reconocimiento del valor tiempo-dinero del seguro es positivo desde el punto de vista metodológico, su aplicación puede representar un esfuerzo significativo en implementación, mantenimiento y gobernanza </w:t>
      </w:r>
      <w:proofErr w:type="gramStart"/>
      <w:r w:rsidRPr="00EA4C1F">
        <w:rPr>
          <w:rFonts w:ascii="Times New Roman" w:eastAsia="Times New Roman" w:hAnsi="Times New Roman" w:cs="Times New Roman"/>
          <w:sz w:val="24"/>
          <w:szCs w:val="24"/>
        </w:rPr>
        <w:t>del mismo</w:t>
      </w:r>
      <w:proofErr w:type="gramEnd"/>
      <w:r w:rsidRPr="00EA4C1F">
        <w:rPr>
          <w:rFonts w:ascii="Times New Roman" w:eastAsia="Times New Roman" w:hAnsi="Times New Roman" w:cs="Times New Roman"/>
          <w:sz w:val="24"/>
          <w:szCs w:val="24"/>
        </w:rPr>
        <w:t>. Del lado regulatorio, su estandarización es compleja por la sensibilidad del resultado y por la amplitud razonable de interpretaciones y supuestos que pueden hacerse sobre ella.</w:t>
      </w:r>
    </w:p>
    <w:p w14:paraId="00000161"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En cuarto lugar, la cuantificación del Ajuste por Riesgo No Financiero es una buena herramienta para reflejar explícitamente la incertidumbre y resguardarse ante ramos o </w:t>
      </w:r>
      <w:proofErr w:type="spellStart"/>
      <w:r w:rsidRPr="00EA4C1F">
        <w:rPr>
          <w:rFonts w:ascii="Times New Roman" w:eastAsia="Times New Roman" w:hAnsi="Times New Roman" w:cs="Times New Roman"/>
          <w:sz w:val="24"/>
          <w:szCs w:val="24"/>
        </w:rPr>
        <w:t>sub-ramos</w:t>
      </w:r>
      <w:proofErr w:type="spellEnd"/>
      <w:r w:rsidRPr="00EA4C1F">
        <w:rPr>
          <w:rFonts w:ascii="Times New Roman" w:eastAsia="Times New Roman" w:hAnsi="Times New Roman" w:cs="Times New Roman"/>
          <w:sz w:val="24"/>
          <w:szCs w:val="24"/>
        </w:rPr>
        <w:t xml:space="preserve"> volátiles. En esta tesina, el RA se estimó a partir de distribuciones empíricas del valor presente mediante </w:t>
      </w:r>
      <w:proofErr w:type="spellStart"/>
      <w:r w:rsidRPr="00EA4C1F">
        <w:rPr>
          <w:rFonts w:ascii="Times New Roman" w:eastAsia="Times New Roman" w:hAnsi="Times New Roman" w:cs="Times New Roman"/>
          <w:sz w:val="24"/>
          <w:szCs w:val="24"/>
        </w:rPr>
        <w:lastRenderedPageBreak/>
        <w:t>remuestreo</w:t>
      </w:r>
      <w:proofErr w:type="spellEnd"/>
      <w:r w:rsidRPr="00EA4C1F">
        <w:rPr>
          <w:rFonts w:ascii="Times New Roman" w:eastAsia="Times New Roman" w:hAnsi="Times New Roman" w:cs="Times New Roman"/>
          <w:sz w:val="24"/>
          <w:szCs w:val="24"/>
        </w:rPr>
        <w:t xml:space="preserve">. La evidencia de asimetría y cola derecha sugiere que un enfoque determinístico tiende a </w:t>
      </w:r>
      <w:proofErr w:type="spellStart"/>
      <w:r w:rsidRPr="00EA4C1F">
        <w:rPr>
          <w:rFonts w:ascii="Times New Roman" w:eastAsia="Times New Roman" w:hAnsi="Times New Roman" w:cs="Times New Roman"/>
          <w:sz w:val="24"/>
          <w:szCs w:val="24"/>
        </w:rPr>
        <w:t>subrrepresentar</w:t>
      </w:r>
      <w:proofErr w:type="spellEnd"/>
      <w:r w:rsidRPr="00EA4C1F">
        <w:rPr>
          <w:rFonts w:ascii="Times New Roman" w:eastAsia="Times New Roman" w:hAnsi="Times New Roman" w:cs="Times New Roman"/>
          <w:sz w:val="24"/>
          <w:szCs w:val="24"/>
        </w:rPr>
        <w:t xml:space="preserve"> la incertidumbre, lo que resalta la importancia de este componente.  No obstante, el nivel del ajuste depende de las decisiones tomadas en etapas previas (actualización, proyección, extrapolación y descuento), por lo que su estimación requiere coherencia de supuestos anteriores, calidad de datos y controles para evitar amplificar ruido y sobreestimar la incertidumbre de la estimación.</w:t>
      </w:r>
    </w:p>
    <w:p w14:paraId="00000162"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En conclusión, un enfoque normativo como IFRS 17 permite una medición más integral y eficaz del riesgo que el RGAA, sin embargo, en el contexto local, la ganancia conceptual debe balancearse con la complejidad de implementación y la sensibilidad de los supuestos para asegurar resultados trazables, estables y que ayuden a la previsibilidad.</w:t>
      </w:r>
    </w:p>
    <w:p w14:paraId="00000163" w14:textId="77777777" w:rsidR="00E6009A" w:rsidRPr="00EA4C1F" w:rsidRDefault="00E6009A" w:rsidP="00EA4C1F">
      <w:pPr>
        <w:jc w:val="both"/>
        <w:rPr>
          <w:rFonts w:ascii="Times New Roman" w:hAnsi="Times New Roman" w:cs="Times New Roman"/>
        </w:rPr>
      </w:pPr>
    </w:p>
    <w:p w14:paraId="00000164" w14:textId="77777777" w:rsidR="00E6009A" w:rsidRPr="00EA4C1F" w:rsidRDefault="00000000" w:rsidP="00EA4C1F">
      <w:pPr>
        <w:pStyle w:val="Heading1"/>
        <w:numPr>
          <w:ilvl w:val="0"/>
          <w:numId w:val="3"/>
        </w:numPr>
      </w:pPr>
      <w:bookmarkStart w:id="70" w:name="_heading=h.kqe2u01ddtc2" w:colFirst="0" w:colLast="0"/>
      <w:bookmarkEnd w:id="70"/>
      <w:r w:rsidRPr="00EA4C1F">
        <w:t>Anexos</w:t>
      </w:r>
    </w:p>
    <w:p w14:paraId="00000165" w14:textId="77777777" w:rsidR="00E6009A" w:rsidRPr="00EA4C1F" w:rsidRDefault="00000000" w:rsidP="00EA4C1F">
      <w:pPr>
        <w:pStyle w:val="Heading1"/>
        <w:numPr>
          <w:ilvl w:val="0"/>
          <w:numId w:val="3"/>
        </w:numPr>
      </w:pPr>
      <w:bookmarkStart w:id="71" w:name="_heading=h.cnz0lc9b38t5" w:colFirst="0" w:colLast="0"/>
      <w:bookmarkEnd w:id="71"/>
      <w:r w:rsidRPr="00EA4C1F">
        <w:t>Bibliografía</w:t>
      </w:r>
    </w:p>
    <w:p w14:paraId="00000166" w14:textId="77777777" w:rsidR="00E6009A" w:rsidRPr="00EA4C1F" w:rsidRDefault="00E6009A" w:rsidP="00EA4C1F">
      <w:pPr>
        <w:jc w:val="both"/>
        <w:rPr>
          <w:rFonts w:ascii="Times New Roman" w:hAnsi="Times New Roman" w:cs="Times New Roman"/>
        </w:rPr>
      </w:pPr>
    </w:p>
    <w:p w14:paraId="00000167" w14:textId="77777777" w:rsidR="00E6009A" w:rsidRPr="00EA4C1F" w:rsidRDefault="00E6009A" w:rsidP="00EA4C1F">
      <w:pPr>
        <w:jc w:val="both"/>
        <w:rPr>
          <w:rFonts w:ascii="Times New Roman" w:hAnsi="Times New Roman" w:cs="Times New Roman"/>
        </w:rPr>
      </w:pPr>
    </w:p>
    <w:p w14:paraId="00000168" w14:textId="177CBC1C" w:rsidR="00E6009A" w:rsidRPr="00EA4C1F" w:rsidRDefault="00E6009A" w:rsidP="00EA4C1F">
      <w:pPr>
        <w:jc w:val="both"/>
        <w:rPr>
          <w:rFonts w:ascii="Times New Roman" w:eastAsia="Times New Roman" w:hAnsi="Times New Roman" w:cs="Times New Roman"/>
        </w:rPr>
      </w:pPr>
    </w:p>
    <w:p w14:paraId="00000169" w14:textId="77777777" w:rsidR="00E6009A" w:rsidRPr="00EA4C1F" w:rsidRDefault="00E6009A" w:rsidP="00EA4C1F">
      <w:pPr>
        <w:jc w:val="both"/>
        <w:rPr>
          <w:rFonts w:ascii="Times New Roman" w:eastAsia="Times New Roman" w:hAnsi="Times New Roman" w:cs="Times New Roman"/>
        </w:rPr>
      </w:pPr>
    </w:p>
    <w:sectPr w:rsidR="00E6009A" w:rsidRPr="00EA4C1F">
      <w:headerReference w:type="default" r:id="rId38"/>
      <w:footerReference w:type="default" r:id="rId39"/>
      <w:pgSz w:w="12240" w:h="15840"/>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lex Dan Burs" w:date="2025-11-11T17:58:00Z" w:initials="">
    <w:p w14:paraId="000001A7" w14:textId="77777777" w:rsidR="00E6009A"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El Goolge Docs cambió la fuente. Antes de pasar a PDF, poner todo en Times New Roman</w:t>
      </w:r>
    </w:p>
  </w:comment>
  <w:comment w:id="2" w:author="Alex" w:date="2025-11-07T16:59:00Z" w:initials="">
    <w:p w14:paraId="0000017F" w14:textId="77777777" w:rsidR="00E6009A"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Definir La base de datos. Preguntar por los EECC que comento Mati</w:t>
      </w:r>
    </w:p>
  </w:comment>
  <w:comment w:id="3" w:author="Alex Dan Burs" w:date="2025-11-13T12:41:00Z" w:initials="">
    <w:p w14:paraId="00000180" w14:textId="77777777" w:rsidR="00E6009A"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Vi lo de los EECC y esta el problema de la fecha de ocurrencia. Haciendo lo que me recomendó mati en los audios, queda 1 año de desarrollo para super. Veo mas factible usar los priangulos de la super, los cuales tuvieron una nueva inclusion 2024/2025</w:t>
      </w:r>
    </w:p>
  </w:comment>
  <w:comment w:id="4" w:author="Alex Dan Burs" w:date="2025-11-22T18:44:00Z" w:initials="">
    <w:p w14:paraId="00000181" w14:textId="77777777" w:rsidR="00E6009A"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Analice la base de 2024/2025 y sili tiene 5 años de desarrollo. La noramtiva pone un factor de cola de 1.1 para 5 periodos y 1.05 para 6 periodos. Una diferencia de 0.05 por un año dificulta la razonabilidad del cálculo. Voy con 2023/2024</w:t>
      </w:r>
    </w:p>
  </w:comment>
  <w:comment w:id="5" w:author="Alex Dan Burs" w:date="2025-11-25T20:58:00Z" w:initials="">
    <w:p w14:paraId="00000182" w14:textId="77777777" w:rsidR="00E6009A"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Editado 11/25/2025</w:t>
      </w:r>
    </w:p>
  </w:comment>
  <w:comment w:id="6" w:author="Alex Dan Burs" w:date="2026-01-22T22:51:00Z" w:initials="">
    <w:p w14:paraId="00000183" w14:textId="77777777" w:rsidR="00E6009A"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Editado 1/22/2025</w:t>
      </w:r>
    </w:p>
  </w:comment>
  <w:comment w:id="7" w:author="Alex" w:date="2025-11-07T16:58:00Z" w:initials="">
    <w:p w14:paraId="00000174" w14:textId="77777777" w:rsidR="00E6009A"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Agregar Citas</w:t>
      </w:r>
    </w:p>
  </w:comment>
  <w:comment w:id="9" w:author="Alex" w:date="2025-11-07T17:01:00Z" w:initials="">
    <w:p w14:paraId="00000179" w14:textId="77777777" w:rsidR="00E6009A"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Agregar si uso mucha nomenclatura</w:t>
      </w:r>
    </w:p>
  </w:comment>
  <w:comment w:id="10" w:author="Alex Dan Burs" w:date="2025-12-02T22:16:00Z" w:initials="">
    <w:p w14:paraId="0000017A" w14:textId="77777777" w:rsidR="00E6009A"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Agregar</w:t>
      </w:r>
    </w:p>
  </w:comment>
  <w:comment w:id="11" w:author="Alex" w:date="2026-02-06T14:42:00Z" w:initials="A">
    <w:p w14:paraId="1C973403" w14:textId="77777777" w:rsidR="00592576" w:rsidRDefault="00592576" w:rsidP="00592576">
      <w:pPr>
        <w:pStyle w:val="CommentText"/>
      </w:pPr>
      <w:r>
        <w:rPr>
          <w:rStyle w:val="CommentReference"/>
        </w:rPr>
        <w:annotationRef/>
      </w:r>
      <w:r>
        <w:t>:/</w:t>
      </w:r>
    </w:p>
  </w:comment>
  <w:comment w:id="13" w:author="Alex" w:date="2025-11-07T17:00:00Z" w:initials="">
    <w:p w14:paraId="00000175" w14:textId="774A9800" w:rsidR="00E6009A"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Agregar Pie de pagina</w:t>
      </w:r>
    </w:p>
  </w:comment>
  <w:comment w:id="17" w:author="Alex Dan Burs" w:date="2025-11-20T17:21:00Z" w:initials="">
    <w:p w14:paraId="0000019E" w14:textId="77777777" w:rsidR="00E6009A"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Esto tiene que tener:</w:t>
      </w:r>
    </w:p>
    <w:p w14:paraId="0000019F" w14:textId="77777777" w:rsidR="00E6009A"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Que es un seguro--------------Hecho</w:t>
      </w:r>
    </w:p>
    <w:p w14:paraId="000001A0" w14:textId="77777777" w:rsidR="00E6009A"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Que son las reservas-----------Hecho</w:t>
      </w:r>
    </w:p>
    <w:p w14:paraId="000001A1" w14:textId="77777777" w:rsidR="00E6009A"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Que es RC Autos---------------Hecho</w:t>
      </w:r>
    </w:p>
    <w:p w14:paraId="000001A2" w14:textId="77777777" w:rsidR="00E6009A"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Que norma se usa local --------Hecho</w:t>
      </w:r>
    </w:p>
    <w:p w14:paraId="000001A3" w14:textId="77777777" w:rsidR="00E6009A"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Que nornma se usa afuera -----Hecho</w:t>
      </w:r>
    </w:p>
  </w:comment>
  <w:comment w:id="19" w:author="Alex Dan Burs" w:date="2025-11-26T18:42:00Z" w:initials="">
    <w:p w14:paraId="000001A6" w14:textId="77777777" w:rsidR="00E6009A"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Chequear como poner una cita con formato APA</w:t>
      </w:r>
    </w:p>
  </w:comment>
  <w:comment w:id="21" w:author="Alex Dan Burs" w:date="2025-11-22T01:03:00Z" w:initials="">
    <w:p w14:paraId="000001AB" w14:textId="77777777" w:rsidR="00E6009A"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Agregar Imagen de estados del siniestro</w:t>
      </w:r>
    </w:p>
  </w:comment>
  <w:comment w:id="23" w:author="Alex Dan Burs" w:date="2026-01-22T23:37:00Z" w:initials="">
    <w:p w14:paraId="00000195" w14:textId="77777777" w:rsidR="00E6009A"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https://www.swissre.com/dam/jcr%3Aecf50ea0-a7a6-4ff0-91ee-84df20fd1f47/swiss-re-institute-expertise-publication-latam-regional-market-report-2024.pdf</w:t>
      </w:r>
    </w:p>
  </w:comment>
  <w:comment w:id="29" w:author="Alex Dan Burs" w:date="2025-11-22T17:59:00Z" w:initials="">
    <w:p w14:paraId="00000185" w14:textId="77777777" w:rsidR="00E6009A"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Requeridos:</w:t>
      </w:r>
    </w:p>
    <w:p w14:paraId="00000186" w14:textId="77777777" w:rsidR="00E6009A"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Explicar Base de Datos ------------------Hecho</w:t>
      </w:r>
    </w:p>
    <w:p w14:paraId="00000187" w14:textId="77777777" w:rsidR="00E6009A"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Explicar RGAA (Chainladder)-------------Hecho</w:t>
      </w:r>
    </w:p>
    <w:p w14:paraId="00000188" w14:textId="77777777" w:rsidR="00E6009A"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Explicar Chainladder Mack---------------Hecho</w:t>
      </w:r>
    </w:p>
    <w:p w14:paraId="00000189" w14:textId="77777777" w:rsidR="00E6009A"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Explicar Patron de Pagos ----------------Hecho</w:t>
      </w:r>
    </w:p>
    <w:p w14:paraId="0000018A" w14:textId="77777777" w:rsidR="00E6009A"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Explicar Chainladder como BEL ----------Hecho</w:t>
      </w:r>
    </w:p>
    <w:p w14:paraId="0000018B" w14:textId="77777777" w:rsidR="00E6009A"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Explicar Top down y Bottom Up ----------Hecho</w:t>
      </w:r>
    </w:p>
    <w:p w14:paraId="0000018C" w14:textId="77777777" w:rsidR="00E6009A"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Explicar Aj. de riesgo no fin (Bootstrap -&gt; Var y TVar) --Por hacer</w:t>
      </w:r>
    </w:p>
    <w:p w14:paraId="0000018D" w14:textId="77777777" w:rsidR="00E6009A"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Backtesting probabilistico ( ---------------Cancelado</w:t>
      </w:r>
    </w:p>
    <w:p w14:paraId="0000018E" w14:textId="77777777" w:rsidR="00E6009A"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Backtesting suficiencia -------------------Cancelado</w:t>
      </w:r>
    </w:p>
  </w:comment>
  <w:comment w:id="30" w:author="Alex Dan Burs" w:date="2025-11-25T23:24:00Z" w:initials="">
    <w:p w14:paraId="0000018F" w14:textId="77777777" w:rsidR="00E6009A"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Opcionales:</w:t>
      </w:r>
    </w:p>
    <w:p w14:paraId="00000190" w14:textId="77777777" w:rsidR="00E6009A"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Explicar GLM ----------------------------Checkear</w:t>
      </w:r>
    </w:p>
    <w:p w14:paraId="00000191" w14:textId="77777777" w:rsidR="00E6009A"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Explicar RJMMC -------------------------Checkear</w:t>
      </w:r>
    </w:p>
  </w:comment>
  <w:comment w:id="36" w:author="Alex Dan Burs" w:date="2025-11-25T23:21:00Z" w:initials="">
    <w:p w14:paraId="00000194" w14:textId="77777777" w:rsidR="00E6009A"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Cambiar los nombres de las columnas</w:t>
      </w:r>
    </w:p>
  </w:comment>
  <w:comment w:id="39" w:author="Alex Dan Burs" w:date="2025-11-30T19:22:00Z" w:initials="">
    <w:p w14:paraId="0000017B" w14:textId="77777777" w:rsidR="00E6009A"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En esta sección comento sobre:</w:t>
      </w:r>
    </w:p>
    <w:p w14:paraId="0000017C" w14:textId="77777777" w:rsidR="00E6009A"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Calcular exclusiones (por mas que haya supuesto que no hay)</w:t>
      </w:r>
    </w:p>
    <w:p w14:paraId="0000017D" w14:textId="77777777" w:rsidR="00E6009A"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Aplicar factor de Ajuste</w:t>
      </w:r>
    </w:p>
  </w:comment>
  <w:comment w:id="40" w:author="Alex Dan Burs" w:date="2025-11-30T19:26:00Z" w:initials="">
    <w:p w14:paraId="0000017E" w14:textId="77777777" w:rsidR="00E6009A"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Nota: La parte de armar el triangulo, debería estar escrita en la sección donde se explica el mdelo. De esa forma, el insight va a quedar mas claro para el que lee</w:t>
      </w:r>
    </w:p>
  </w:comment>
  <w:comment w:id="42" w:author="Alex Dan Burs" w:date="2025-12-01T20:04:00Z" w:initials="">
    <w:p w14:paraId="00000196" w14:textId="77777777" w:rsidR="00E6009A"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Aca hay que comentar:</w:t>
      </w:r>
    </w:p>
    <w:p w14:paraId="00000197" w14:textId="77777777" w:rsidR="00E6009A"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Supuestos</w:t>
      </w:r>
    </w:p>
    <w:p w14:paraId="00000198" w14:textId="77777777" w:rsidR="00E6009A"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Armado de triangulo</w:t>
      </w:r>
    </w:p>
    <w:p w14:paraId="00000199" w14:textId="77777777" w:rsidR="00E6009A"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FDI, FDA</w:t>
      </w:r>
    </w:p>
    <w:p w14:paraId="0000019A" w14:textId="77777777" w:rsidR="00E6009A"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Factor de cola</w:t>
      </w:r>
    </w:p>
    <w:p w14:paraId="0000019B" w14:textId="77777777" w:rsidR="00E6009A"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Ultimate</w:t>
      </w:r>
    </w:p>
    <w:p w14:paraId="0000019C" w14:textId="77777777" w:rsidR="00E6009A"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IBNR</w:t>
      </w:r>
    </w:p>
  </w:comment>
  <w:comment w:id="43" w:author="Alex Dan Burs" w:date="2025-12-02T21:58:00Z" w:initials="">
    <w:p w14:paraId="0000019D" w14:textId="77777777" w:rsidR="00E6009A"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Hecho</w:t>
      </w:r>
    </w:p>
  </w:comment>
  <w:comment w:id="44" w:author="Alex Dan Burs" w:date="2025-12-02T19:42:00Z" w:initials="">
    <w:p w14:paraId="000001A8" w14:textId="77777777" w:rsidR="00E6009A"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El límite del término de arriba tiene que ser i=1 -&gt; i-j</w:t>
      </w:r>
    </w:p>
    <w:p w14:paraId="000001A9" w14:textId="77777777" w:rsidR="00E6009A"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Se equivocó el Mapfre</w:t>
      </w:r>
    </w:p>
  </w:comment>
  <w:comment w:id="45" w:author="Alex Dan Burs" w:date="2025-12-02T21:47:00Z" w:initials="">
    <w:p w14:paraId="000001AC" w14:textId="77777777" w:rsidR="00E6009A"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Agregar fórmila</w:t>
      </w:r>
    </w:p>
  </w:comment>
  <w:comment w:id="47" w:author="Alex Dan Burs" w:date="2025-12-01T20:05:00Z" w:initials="">
    <w:p w14:paraId="000001A4" w14:textId="77777777" w:rsidR="00E6009A"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Aca vienen:</w:t>
      </w:r>
    </w:p>
    <w:p w14:paraId="000001A5" w14:textId="77777777" w:rsidR="00E6009A"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redondear a 0 el RSP negativo</w:t>
      </w:r>
    </w:p>
  </w:comment>
  <w:comment w:id="51" w:author="Alex Dan Burs" w:date="2025-12-05T21:56:00Z" w:initials="">
    <w:p w14:paraId="00000192" w14:textId="3A3E97CE" w:rsidR="00E6009A"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Ver si hago el modelo de Vasicek-Merton para sacar el riesgo de crédito o simplemente digo que la tasa es 0 para no alterar el pasivo (como se hace en la práctica) y despues ver la sensibilidad de la tasa</w:t>
      </w:r>
    </w:p>
  </w:comment>
  <w:comment w:id="52" w:author="Alex Dan Burs" w:date="2026-01-16T19:16:00Z" w:initials="">
    <w:p w14:paraId="00000193" w14:textId="77777777" w:rsidR="00E6009A"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Los termine haciendo manual (codeado en Python)</w:t>
      </w:r>
    </w:p>
  </w:comment>
  <w:comment w:id="53" w:author="Alex Dan Burs" w:date="2026-01-16T19:23:00Z" w:initials="">
    <w:p w14:paraId="000001AA" w14:textId="77777777" w:rsidR="00E6009A"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La norma habla de que las cosas que requieren un "esfuerzo desproporcionado" y son opcionales, se pueden ovbiar</w:t>
      </w:r>
    </w:p>
  </w:comment>
  <w:comment w:id="57" w:author="Alex Dan Burs" w:date="2025-12-09T02:31:00Z" w:initials="">
    <w:p w14:paraId="00000176" w14:textId="77777777" w:rsidR="00E6009A"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Ir directo con TVar.</w:t>
      </w:r>
    </w:p>
  </w:comment>
  <w:comment w:id="58" w:author="Alex Dan Burs" w:date="2026-01-27T15:14:00Z" w:initials="">
    <w:p w14:paraId="00000177" w14:textId="77777777" w:rsidR="00E6009A"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TVaR es muy sensible, voy con el VaR</w:t>
      </w:r>
    </w:p>
  </w:comment>
  <w:comment w:id="59" w:author="Alex Dan Burs" w:date="2026-02-03T16:06:00Z" w:initials="">
    <w:p w14:paraId="00000178" w14:textId="77777777" w:rsidR="00E6009A"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Hice analisis de sensibilidad y quitando los outliers, queda lo mismo. La cola es MUY pesada. Uso TVaR 70</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0001A7" w15:done="0"/>
  <w15:commentEx w15:paraId="0000017F" w15:done="0"/>
  <w15:commentEx w15:paraId="00000180" w15:paraIdParent="0000017F" w15:done="0"/>
  <w15:commentEx w15:paraId="00000181" w15:paraIdParent="0000017F" w15:done="0"/>
  <w15:commentEx w15:paraId="00000182" w15:paraIdParent="0000017F" w15:done="0"/>
  <w15:commentEx w15:paraId="00000183" w15:paraIdParent="0000017F" w15:done="0"/>
  <w15:commentEx w15:paraId="00000174" w15:done="0"/>
  <w15:commentEx w15:paraId="00000179" w15:done="0"/>
  <w15:commentEx w15:paraId="0000017A" w15:paraIdParent="00000179" w15:done="0"/>
  <w15:commentEx w15:paraId="1C973403" w15:paraIdParent="00000179" w15:done="0"/>
  <w15:commentEx w15:paraId="00000175" w15:done="0"/>
  <w15:commentEx w15:paraId="000001A3" w15:done="0"/>
  <w15:commentEx w15:paraId="000001A6" w15:done="0"/>
  <w15:commentEx w15:paraId="000001AB" w15:done="0"/>
  <w15:commentEx w15:paraId="00000195" w15:done="0"/>
  <w15:commentEx w15:paraId="0000018E" w15:done="0"/>
  <w15:commentEx w15:paraId="00000191" w15:paraIdParent="0000018E" w15:done="0"/>
  <w15:commentEx w15:paraId="00000194" w15:done="0"/>
  <w15:commentEx w15:paraId="0000017D" w15:done="0"/>
  <w15:commentEx w15:paraId="0000017E" w15:paraIdParent="0000017D" w15:done="0"/>
  <w15:commentEx w15:paraId="0000019C" w15:done="0"/>
  <w15:commentEx w15:paraId="0000019D" w15:paraIdParent="0000019C" w15:done="0"/>
  <w15:commentEx w15:paraId="000001A9" w15:done="0"/>
  <w15:commentEx w15:paraId="000001AC" w15:done="0"/>
  <w15:commentEx w15:paraId="000001A5" w15:done="0"/>
  <w15:commentEx w15:paraId="00000192" w15:done="0"/>
  <w15:commentEx w15:paraId="00000193" w15:paraIdParent="00000192" w15:done="0"/>
  <w15:commentEx w15:paraId="000001AA" w15:done="0"/>
  <w15:commentEx w15:paraId="00000176" w15:done="0"/>
  <w15:commentEx w15:paraId="00000177" w15:paraIdParent="00000176" w15:done="0"/>
  <w15:commentEx w15:paraId="00000178" w15:paraIdParent="0000017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6144CC7" w16cex:dateUtc="2026-02-06T17:4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0001A7" w16cid:durableId="000001A7"/>
  <w16cid:commentId w16cid:paraId="0000017F" w16cid:durableId="0000017F"/>
  <w16cid:commentId w16cid:paraId="00000180" w16cid:durableId="00000180"/>
  <w16cid:commentId w16cid:paraId="00000181" w16cid:durableId="00000181"/>
  <w16cid:commentId w16cid:paraId="00000182" w16cid:durableId="00000182"/>
  <w16cid:commentId w16cid:paraId="00000183" w16cid:durableId="00000183"/>
  <w16cid:commentId w16cid:paraId="00000174" w16cid:durableId="00000174"/>
  <w16cid:commentId w16cid:paraId="00000179" w16cid:durableId="00000179"/>
  <w16cid:commentId w16cid:paraId="0000017A" w16cid:durableId="0000017A"/>
  <w16cid:commentId w16cid:paraId="1C973403" w16cid:durableId="16144CC7"/>
  <w16cid:commentId w16cid:paraId="00000175" w16cid:durableId="00000175"/>
  <w16cid:commentId w16cid:paraId="000001A3" w16cid:durableId="000001A3"/>
  <w16cid:commentId w16cid:paraId="000001A6" w16cid:durableId="000001A6"/>
  <w16cid:commentId w16cid:paraId="000001AB" w16cid:durableId="000001AB"/>
  <w16cid:commentId w16cid:paraId="00000195" w16cid:durableId="00000195"/>
  <w16cid:commentId w16cid:paraId="0000018E" w16cid:durableId="0000018E"/>
  <w16cid:commentId w16cid:paraId="00000191" w16cid:durableId="00000191"/>
  <w16cid:commentId w16cid:paraId="00000194" w16cid:durableId="00000194"/>
  <w16cid:commentId w16cid:paraId="0000017D" w16cid:durableId="0000017D"/>
  <w16cid:commentId w16cid:paraId="0000017E" w16cid:durableId="0000017E"/>
  <w16cid:commentId w16cid:paraId="0000019C" w16cid:durableId="0000019C"/>
  <w16cid:commentId w16cid:paraId="0000019D" w16cid:durableId="0000019D"/>
  <w16cid:commentId w16cid:paraId="000001A9" w16cid:durableId="000001A9"/>
  <w16cid:commentId w16cid:paraId="000001AC" w16cid:durableId="000001AC"/>
  <w16cid:commentId w16cid:paraId="000001A5" w16cid:durableId="000001A5"/>
  <w16cid:commentId w16cid:paraId="00000192" w16cid:durableId="00000192"/>
  <w16cid:commentId w16cid:paraId="00000193" w16cid:durableId="00000193"/>
  <w16cid:commentId w16cid:paraId="000001AA" w16cid:durableId="000001AA"/>
  <w16cid:commentId w16cid:paraId="00000176" w16cid:durableId="00000176"/>
  <w16cid:commentId w16cid:paraId="00000177" w16cid:durableId="00000177"/>
  <w16cid:commentId w16cid:paraId="00000178" w16cid:durableId="0000017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CA77D1" w14:textId="77777777" w:rsidR="00E54813" w:rsidRDefault="00E54813">
      <w:pPr>
        <w:spacing w:after="0" w:line="240" w:lineRule="auto"/>
      </w:pPr>
      <w:r>
        <w:separator/>
      </w:r>
    </w:p>
  </w:endnote>
  <w:endnote w:type="continuationSeparator" w:id="0">
    <w:p w14:paraId="033BE9EE" w14:textId="77777777" w:rsidR="00E54813" w:rsidRDefault="00E548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2AAA31AF-602D-4958-904C-42546539CA1D}"/>
    <w:embedBold r:id="rId2" w:fontKey="{A70706C6-49D7-49C6-BA94-318811A0F90F}"/>
    <w:embedItalic r:id="rId3" w:fontKey="{3CAA2EEB-2FC3-4BAA-A1B5-D34E858F8D32}"/>
  </w:font>
  <w:font w:name="Play">
    <w:charset w:val="00"/>
    <w:family w:val="auto"/>
    <w:pitch w:val="default"/>
    <w:embedRegular r:id="rId4" w:fontKey="{A1A36AAD-4163-4347-BE96-D28C1ABAE8C2}"/>
  </w:font>
  <w:font w:name="Aptos Display">
    <w:charset w:val="00"/>
    <w:family w:val="swiss"/>
    <w:pitch w:val="variable"/>
    <w:sig w:usb0="20000287" w:usb1="00000003" w:usb2="00000000" w:usb3="00000000" w:csb0="0000019F" w:csb1="00000000"/>
    <w:embedRegular r:id="rId5" w:fontKey="{6AADCD44-A8CB-4307-92AB-418D856DF803}"/>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6" w:fontKey="{AC2C9DF7-463F-4CEC-AA73-0223C7257095}"/>
    <w:embedItalic r:id="rId7" w:fontKey="{2543B3E8-FD4F-424D-833F-E5BC770457F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6C" w14:textId="77777777" w:rsidR="00E6009A" w:rsidRDefault="00E6009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A99A9C" w14:textId="77777777" w:rsidR="00E54813" w:rsidRDefault="00E54813">
      <w:pPr>
        <w:spacing w:after="0" w:line="240" w:lineRule="auto"/>
      </w:pPr>
      <w:r>
        <w:separator/>
      </w:r>
    </w:p>
  </w:footnote>
  <w:footnote w:type="continuationSeparator" w:id="0">
    <w:p w14:paraId="382ED5DC" w14:textId="77777777" w:rsidR="00E54813" w:rsidRDefault="00E54813">
      <w:pPr>
        <w:spacing w:after="0" w:line="240" w:lineRule="auto"/>
      </w:pPr>
      <w:r>
        <w:continuationSeparator/>
      </w:r>
    </w:p>
  </w:footnote>
  <w:footnote w:id="1">
    <w:p w14:paraId="0000016F" w14:textId="77777777" w:rsidR="00E6009A" w:rsidRDefault="00000000">
      <w:pPr>
        <w:spacing w:after="0" w:line="240" w:lineRule="auto"/>
        <w:rPr>
          <w:sz w:val="20"/>
          <w:szCs w:val="20"/>
        </w:rPr>
      </w:pPr>
      <w:r>
        <w:rPr>
          <w:vertAlign w:val="superscript"/>
        </w:rPr>
        <w:footnoteRef/>
      </w:r>
      <w:r>
        <w:rPr>
          <w:sz w:val="20"/>
          <w:szCs w:val="20"/>
        </w:rPr>
        <w:t xml:space="preserve"> Superintendencia de Seguros de la Nación </w:t>
      </w:r>
      <w:r>
        <w:rPr>
          <w:rFonts w:ascii="Times New Roman" w:eastAsia="Times New Roman" w:hAnsi="Times New Roman" w:cs="Times New Roman"/>
          <w:sz w:val="20"/>
          <w:szCs w:val="20"/>
        </w:rPr>
        <w:t>(</w:t>
      </w:r>
      <w:r>
        <w:rPr>
          <w:rFonts w:ascii="Times New Roman" w:eastAsia="Times New Roman" w:hAnsi="Times New Roman" w:cs="Times New Roman"/>
          <w:sz w:val="21"/>
          <w:szCs w:val="21"/>
        </w:rPr>
        <w:t>Ciudad de Buenos Aires, 02/06/2025</w:t>
      </w:r>
      <w:r>
        <w:rPr>
          <w:rFonts w:ascii="Times New Roman" w:eastAsia="Times New Roman" w:hAnsi="Times New Roman" w:cs="Times New Roman"/>
          <w:sz w:val="20"/>
          <w:szCs w:val="20"/>
        </w:rPr>
        <w:t>)</w:t>
      </w:r>
      <w:r>
        <w:rPr>
          <w:sz w:val="20"/>
          <w:szCs w:val="20"/>
        </w:rPr>
        <w:t>. https://www.boletinoficial.gob.ar/detalleAviso/primera/326434/20250604</w:t>
      </w:r>
    </w:p>
  </w:footnote>
  <w:footnote w:id="2">
    <w:p w14:paraId="00000170" w14:textId="77777777" w:rsidR="00E6009A" w:rsidRDefault="00000000">
      <w:pPr>
        <w:spacing w:after="0" w:line="240" w:lineRule="auto"/>
        <w:rPr>
          <w:sz w:val="20"/>
          <w:szCs w:val="20"/>
        </w:rPr>
      </w:pPr>
      <w:r>
        <w:rPr>
          <w:vertAlign w:val="superscript"/>
        </w:rPr>
        <w:footnoteRef/>
      </w:r>
      <w:r>
        <w:rPr>
          <w:sz w:val="20"/>
          <w:szCs w:val="20"/>
        </w:rPr>
        <w:t xml:space="preserve"> Superintendencia de Seguros de la Nación (s.f.). https://www.argentina.gob.ar/sites/default/files/ssn_rgaa_201104.pdf</w:t>
      </w:r>
    </w:p>
  </w:footnote>
  <w:footnote w:id="3">
    <w:p w14:paraId="00000171" w14:textId="77777777" w:rsidR="00E6009A" w:rsidRDefault="00000000">
      <w:pPr>
        <w:spacing w:after="0" w:line="240" w:lineRule="auto"/>
        <w:rPr>
          <w:sz w:val="20"/>
          <w:szCs w:val="20"/>
        </w:rPr>
      </w:pPr>
      <w:r>
        <w:rPr>
          <w:vertAlign w:val="superscript"/>
        </w:rPr>
        <w:footnoteRef/>
      </w:r>
      <w:r>
        <w:rPr>
          <w:sz w:val="20"/>
          <w:szCs w:val="20"/>
        </w:rPr>
        <w:t xml:space="preserve"> </w:t>
      </w:r>
    </w:p>
  </w:footnote>
  <w:footnote w:id="4">
    <w:p w14:paraId="00000172" w14:textId="77777777" w:rsidR="00E6009A" w:rsidRDefault="00000000">
      <w:pPr>
        <w:spacing w:after="0" w:line="240" w:lineRule="auto"/>
        <w:rPr>
          <w:sz w:val="20"/>
          <w:szCs w:val="20"/>
        </w:rPr>
      </w:pPr>
      <w:r>
        <w:rPr>
          <w:vertAlign w:val="superscript"/>
        </w:rPr>
        <w:footnoteRef/>
      </w:r>
      <w:r>
        <w:rPr>
          <w:sz w:val="20"/>
          <w:szCs w:val="20"/>
        </w:rPr>
        <w:t xml:space="preserve"> Ley que obliga a tener un seguro de RC.</w:t>
      </w:r>
    </w:p>
  </w:footnote>
  <w:footnote w:id="5">
    <w:p w14:paraId="0000016D" w14:textId="77777777" w:rsidR="00E6009A" w:rsidRDefault="00000000">
      <w:pPr>
        <w:spacing w:after="0" w:line="240" w:lineRule="auto"/>
        <w:rPr>
          <w:sz w:val="20"/>
          <w:szCs w:val="20"/>
        </w:rPr>
      </w:pPr>
      <w:r>
        <w:rPr>
          <w:vertAlign w:val="superscript"/>
        </w:rPr>
        <w:footnoteRef/>
      </w:r>
      <w:r>
        <w:rPr>
          <w:sz w:val="20"/>
          <w:szCs w:val="20"/>
        </w:rPr>
        <w:t xml:space="preserve"> </w:t>
      </w:r>
      <w:proofErr w:type="gramStart"/>
      <w:r>
        <w:rPr>
          <w:sz w:val="20"/>
          <w:szCs w:val="20"/>
        </w:rPr>
        <w:t>Link</w:t>
      </w:r>
      <w:proofErr w:type="gramEnd"/>
      <w:r>
        <w:rPr>
          <w:sz w:val="20"/>
          <w:szCs w:val="20"/>
        </w:rPr>
        <w:t xml:space="preserve"> de la página</w:t>
      </w:r>
    </w:p>
  </w:footnote>
  <w:footnote w:id="6">
    <w:p w14:paraId="0000016E" w14:textId="77777777" w:rsidR="00E6009A" w:rsidRDefault="00000000">
      <w:pPr>
        <w:spacing w:after="0" w:line="240" w:lineRule="auto"/>
        <w:rPr>
          <w:sz w:val="20"/>
          <w:szCs w:val="20"/>
        </w:rPr>
      </w:pPr>
      <w:r>
        <w:rPr>
          <w:vertAlign w:val="superscript"/>
        </w:rPr>
        <w:footnoteRef/>
      </w:r>
      <w:r>
        <w:rPr>
          <w:sz w:val="20"/>
          <w:szCs w:val="20"/>
        </w:rPr>
        <w:t xml:space="preserve"> </w:t>
      </w:r>
      <w:proofErr w:type="gramStart"/>
      <w:r>
        <w:rPr>
          <w:sz w:val="20"/>
          <w:szCs w:val="20"/>
        </w:rPr>
        <w:t>Link</w:t>
      </w:r>
      <w:proofErr w:type="gramEnd"/>
      <w:r>
        <w:rPr>
          <w:sz w:val="20"/>
          <w:szCs w:val="20"/>
        </w:rPr>
        <w:t xml:space="preserve"> de la base del índice FACPCE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6A" w14:textId="7BD1861D" w:rsidR="00E6009A" w:rsidRDefault="00000000">
    <w:pPr>
      <w:pBdr>
        <w:top w:val="nil"/>
        <w:left w:val="nil"/>
        <w:bottom w:val="nil"/>
        <w:right w:val="nil"/>
        <w:between w:val="nil"/>
      </w:pBdr>
      <w:tabs>
        <w:tab w:val="center" w:pos="4513"/>
        <w:tab w:val="right" w:pos="9026"/>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EA4C1F">
      <w:rPr>
        <w:noProof/>
        <w:color w:val="000000"/>
      </w:rPr>
      <w:t>1</w:t>
    </w:r>
    <w:r>
      <w:rPr>
        <w:color w:val="000000"/>
      </w:rPr>
      <w:fldChar w:fldCharType="end"/>
    </w:r>
  </w:p>
  <w:p w14:paraId="0000016B" w14:textId="77777777" w:rsidR="00E6009A" w:rsidRDefault="00E6009A">
    <w:pPr>
      <w:pBdr>
        <w:top w:val="nil"/>
        <w:left w:val="nil"/>
        <w:bottom w:val="nil"/>
        <w:right w:val="nil"/>
        <w:between w:val="nil"/>
      </w:pBdr>
      <w:tabs>
        <w:tab w:val="center" w:pos="4513"/>
        <w:tab w:val="right" w:pos="9026"/>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351C8"/>
    <w:multiLevelType w:val="multilevel"/>
    <w:tmpl w:val="4202C3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EC00033"/>
    <w:multiLevelType w:val="multilevel"/>
    <w:tmpl w:val="B24A37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1AB76A6"/>
    <w:multiLevelType w:val="multilevel"/>
    <w:tmpl w:val="FF5C30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1630838"/>
    <w:multiLevelType w:val="multilevel"/>
    <w:tmpl w:val="FC8E8E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56B3DC1"/>
    <w:multiLevelType w:val="multilevel"/>
    <w:tmpl w:val="91D2AB9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 w15:restartNumberingAfterBreak="0">
    <w:nsid w:val="2F6B4D6D"/>
    <w:multiLevelType w:val="multilevel"/>
    <w:tmpl w:val="6BF626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3BF6FD2"/>
    <w:multiLevelType w:val="multilevel"/>
    <w:tmpl w:val="251E31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7660FA3"/>
    <w:multiLevelType w:val="multilevel"/>
    <w:tmpl w:val="08C855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B2C46BA"/>
    <w:multiLevelType w:val="multilevel"/>
    <w:tmpl w:val="17C420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DA51B20"/>
    <w:multiLevelType w:val="multilevel"/>
    <w:tmpl w:val="8AE63D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ED22EF7"/>
    <w:multiLevelType w:val="multilevel"/>
    <w:tmpl w:val="DB526F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4A031D47"/>
    <w:multiLevelType w:val="multilevel"/>
    <w:tmpl w:val="BD26D1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53DA263B"/>
    <w:multiLevelType w:val="multilevel"/>
    <w:tmpl w:val="C61478CA"/>
    <w:lvl w:ilvl="0">
      <w:start w:val="1"/>
      <w:numFmt w:val="decimal"/>
      <w:lvlText w:val="%1."/>
      <w:lvlJc w:val="right"/>
      <w:pPr>
        <w:ind w:left="720" w:hanging="360"/>
      </w:pPr>
      <w:rPr>
        <w:u w:val="none"/>
      </w:rPr>
    </w:lvl>
    <w:lvl w:ilvl="1">
      <w:start w:val="1"/>
      <w:numFmt w:val="decimal"/>
      <w:lvlText w:val="%1.%2."/>
      <w:lvlJc w:val="right"/>
      <w:pPr>
        <w:ind w:left="992" w:hanging="360"/>
      </w:pPr>
      <w:rPr>
        <w:u w:val="none"/>
      </w:rPr>
    </w:lvl>
    <w:lvl w:ilvl="2">
      <w:start w:val="1"/>
      <w:numFmt w:val="decimal"/>
      <w:lvlText w:val="%1.%2.%3."/>
      <w:lvlJc w:val="right"/>
      <w:pPr>
        <w:ind w:left="1133" w:hanging="359"/>
      </w:pPr>
      <w:rPr>
        <w:sz w:val="28"/>
        <w:szCs w:val="28"/>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3" w15:restartNumberingAfterBreak="0">
    <w:nsid w:val="5DFD0C5E"/>
    <w:multiLevelType w:val="multilevel"/>
    <w:tmpl w:val="288E25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745529FD"/>
    <w:multiLevelType w:val="multilevel"/>
    <w:tmpl w:val="EFBCA0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7B36157B"/>
    <w:multiLevelType w:val="multilevel"/>
    <w:tmpl w:val="A6F81B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512795173">
    <w:abstractNumId w:val="5"/>
  </w:num>
  <w:num w:numId="2" w16cid:durableId="802499571">
    <w:abstractNumId w:val="2"/>
  </w:num>
  <w:num w:numId="3" w16cid:durableId="274796376">
    <w:abstractNumId w:val="12"/>
  </w:num>
  <w:num w:numId="4" w16cid:durableId="1472944874">
    <w:abstractNumId w:val="3"/>
  </w:num>
  <w:num w:numId="5" w16cid:durableId="1740253939">
    <w:abstractNumId w:val="4"/>
  </w:num>
  <w:num w:numId="6" w16cid:durableId="791829273">
    <w:abstractNumId w:val="13"/>
  </w:num>
  <w:num w:numId="7" w16cid:durableId="1545941251">
    <w:abstractNumId w:val="0"/>
  </w:num>
  <w:num w:numId="8" w16cid:durableId="1959795589">
    <w:abstractNumId w:val="11"/>
  </w:num>
  <w:num w:numId="9" w16cid:durableId="239800149">
    <w:abstractNumId w:val="7"/>
  </w:num>
  <w:num w:numId="10" w16cid:durableId="1439332158">
    <w:abstractNumId w:val="14"/>
  </w:num>
  <w:num w:numId="11" w16cid:durableId="577055685">
    <w:abstractNumId w:val="6"/>
  </w:num>
  <w:num w:numId="12" w16cid:durableId="1039738837">
    <w:abstractNumId w:val="9"/>
  </w:num>
  <w:num w:numId="13" w16cid:durableId="593586179">
    <w:abstractNumId w:val="15"/>
  </w:num>
  <w:num w:numId="14" w16cid:durableId="1013341095">
    <w:abstractNumId w:val="10"/>
  </w:num>
  <w:num w:numId="15" w16cid:durableId="113986335">
    <w:abstractNumId w:val="8"/>
  </w:num>
  <w:num w:numId="16" w16cid:durableId="290601601">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ex">
    <w15:presenceInfo w15:providerId="None" w15:userId="Alex"/>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009A"/>
    <w:rsid w:val="00012272"/>
    <w:rsid w:val="00122F7F"/>
    <w:rsid w:val="00176D78"/>
    <w:rsid w:val="004C61CD"/>
    <w:rsid w:val="00592576"/>
    <w:rsid w:val="00820C22"/>
    <w:rsid w:val="00963DD8"/>
    <w:rsid w:val="009D5399"/>
    <w:rsid w:val="009F2A6A"/>
    <w:rsid w:val="00B97721"/>
    <w:rsid w:val="00E54813"/>
    <w:rsid w:val="00E6009A"/>
    <w:rsid w:val="00EA20AC"/>
    <w:rsid w:val="00EA4C1F"/>
    <w:rsid w:val="00F33BE7"/>
    <w:rsid w:val="00FC42E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B63B81"/>
  <w15:docId w15:val="{05C7A1CD-EC2C-4C58-9A80-37DD9D8C31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s-AR"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after="0" w:line="480" w:lineRule="auto"/>
      <w:jc w:val="both"/>
      <w:outlineLvl w:val="0"/>
    </w:pPr>
    <w:rPr>
      <w:rFonts w:ascii="Times New Roman" w:eastAsia="Times New Roman" w:hAnsi="Times New Roman" w:cs="Times New Roman"/>
      <w:color w:val="0F4761"/>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2317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17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17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character" w:customStyle="1" w:styleId="Heading1Char">
    <w:name w:val="Heading 1 Char"/>
    <w:basedOn w:val="DefaultParagraphFont"/>
    <w:link w:val="Heading1"/>
    <w:uiPriority w:val="9"/>
    <w:rsid w:val="0023177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3177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3177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3177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17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17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17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17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177A"/>
    <w:rPr>
      <w:rFonts w:eastAsiaTheme="majorEastAsia" w:cstheme="majorBidi"/>
      <w:color w:val="272727" w:themeColor="text1" w:themeTint="D8"/>
    </w:rPr>
  </w:style>
  <w:style w:type="character" w:customStyle="1" w:styleId="TitleChar">
    <w:name w:val="Title Char"/>
    <w:basedOn w:val="DefaultParagraphFont"/>
    <w:link w:val="Title"/>
    <w:uiPriority w:val="10"/>
    <w:rsid w:val="0023177A"/>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2317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177A"/>
    <w:pPr>
      <w:spacing w:before="160"/>
      <w:jc w:val="center"/>
    </w:pPr>
    <w:rPr>
      <w:i/>
      <w:iCs/>
      <w:color w:val="404040" w:themeColor="text1" w:themeTint="BF"/>
    </w:rPr>
  </w:style>
  <w:style w:type="character" w:customStyle="1" w:styleId="QuoteChar">
    <w:name w:val="Quote Char"/>
    <w:basedOn w:val="DefaultParagraphFont"/>
    <w:link w:val="Quote"/>
    <w:uiPriority w:val="29"/>
    <w:rsid w:val="0023177A"/>
    <w:rPr>
      <w:i/>
      <w:iCs/>
      <w:color w:val="404040" w:themeColor="text1" w:themeTint="BF"/>
    </w:rPr>
  </w:style>
  <w:style w:type="paragraph" w:styleId="ListParagraph">
    <w:name w:val="List Paragraph"/>
    <w:basedOn w:val="Normal"/>
    <w:uiPriority w:val="34"/>
    <w:qFormat/>
    <w:rsid w:val="0023177A"/>
    <w:pPr>
      <w:ind w:left="720"/>
      <w:contextualSpacing/>
    </w:pPr>
  </w:style>
  <w:style w:type="character" w:styleId="IntenseEmphasis">
    <w:name w:val="Intense Emphasis"/>
    <w:basedOn w:val="DefaultParagraphFont"/>
    <w:uiPriority w:val="21"/>
    <w:qFormat/>
    <w:rsid w:val="0023177A"/>
    <w:rPr>
      <w:i/>
      <w:iCs/>
      <w:color w:val="0F4761" w:themeColor="accent1" w:themeShade="BF"/>
    </w:rPr>
  </w:style>
  <w:style w:type="paragraph" w:styleId="IntenseQuote">
    <w:name w:val="Intense Quote"/>
    <w:basedOn w:val="Normal"/>
    <w:next w:val="Normal"/>
    <w:link w:val="IntenseQuoteChar"/>
    <w:uiPriority w:val="30"/>
    <w:qFormat/>
    <w:rsid w:val="002317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177A"/>
    <w:rPr>
      <w:i/>
      <w:iCs/>
      <w:color w:val="0F4761" w:themeColor="accent1" w:themeShade="BF"/>
    </w:rPr>
  </w:style>
  <w:style w:type="character" w:styleId="IntenseReference">
    <w:name w:val="Intense Reference"/>
    <w:basedOn w:val="DefaultParagraphFont"/>
    <w:uiPriority w:val="32"/>
    <w:qFormat/>
    <w:rsid w:val="0023177A"/>
    <w:rPr>
      <w:b/>
      <w:bCs/>
      <w:smallCaps/>
      <w:color w:val="0F4761" w:themeColor="accent1" w:themeShade="BF"/>
      <w:spacing w:val="5"/>
    </w:rPr>
  </w:style>
  <w:style w:type="character" w:styleId="Hyperlink">
    <w:name w:val="Hyperlink"/>
    <w:basedOn w:val="DefaultParagraphFont"/>
    <w:uiPriority w:val="99"/>
    <w:unhideWhenUsed/>
    <w:rsid w:val="0023177A"/>
    <w:rPr>
      <w:color w:val="467886" w:themeColor="hyperlink"/>
      <w:u w:val="single"/>
    </w:rPr>
  </w:style>
  <w:style w:type="paragraph" w:styleId="TOC1">
    <w:name w:val="toc 1"/>
    <w:basedOn w:val="Normal"/>
    <w:uiPriority w:val="39"/>
    <w:qFormat/>
    <w:rsid w:val="0023177A"/>
    <w:pPr>
      <w:widowControl w:val="0"/>
      <w:autoSpaceDE w:val="0"/>
      <w:autoSpaceDN w:val="0"/>
      <w:spacing w:before="119" w:after="0" w:line="240" w:lineRule="auto"/>
      <w:ind w:left="2016"/>
    </w:pPr>
    <w:rPr>
      <w:rFonts w:ascii="Times New Roman" w:eastAsia="Times New Roman" w:hAnsi="Times New Roman" w:cs="Times New Roman"/>
      <w:b/>
      <w:bCs/>
      <w:lang w:val="es-ES"/>
    </w:rPr>
  </w:style>
  <w:style w:type="paragraph" w:styleId="TOC2">
    <w:name w:val="toc 2"/>
    <w:basedOn w:val="Normal"/>
    <w:uiPriority w:val="39"/>
    <w:qFormat/>
    <w:rsid w:val="0023177A"/>
    <w:pPr>
      <w:widowControl w:val="0"/>
      <w:autoSpaceDE w:val="0"/>
      <w:autoSpaceDN w:val="0"/>
      <w:spacing w:before="119" w:after="0" w:line="240" w:lineRule="auto"/>
      <w:ind w:left="2623" w:hanging="387"/>
    </w:pPr>
    <w:rPr>
      <w:rFonts w:ascii="Times New Roman" w:eastAsia="Times New Roman" w:hAnsi="Times New Roman" w:cs="Times New Roman"/>
      <w:lang w:val="es-ES"/>
    </w:rPr>
  </w:style>
  <w:style w:type="paragraph" w:styleId="BodyText">
    <w:name w:val="Body Text"/>
    <w:basedOn w:val="Normal"/>
    <w:link w:val="BodyTextChar"/>
    <w:uiPriority w:val="1"/>
    <w:qFormat/>
    <w:rsid w:val="0023177A"/>
    <w:pPr>
      <w:widowControl w:val="0"/>
      <w:autoSpaceDE w:val="0"/>
      <w:autoSpaceDN w:val="0"/>
      <w:spacing w:after="0" w:line="240" w:lineRule="auto"/>
    </w:pPr>
    <w:rPr>
      <w:rFonts w:ascii="Times New Roman" w:eastAsia="Times New Roman" w:hAnsi="Times New Roman" w:cs="Times New Roman"/>
      <w:sz w:val="24"/>
      <w:szCs w:val="24"/>
      <w:lang w:val="es-ES"/>
    </w:rPr>
  </w:style>
  <w:style w:type="character" w:customStyle="1" w:styleId="BodyTextChar">
    <w:name w:val="Body Text Char"/>
    <w:basedOn w:val="DefaultParagraphFont"/>
    <w:link w:val="BodyText"/>
    <w:uiPriority w:val="1"/>
    <w:rsid w:val="0023177A"/>
    <w:rPr>
      <w:rFonts w:ascii="Times New Roman" w:eastAsia="Times New Roman" w:hAnsi="Times New Roman" w:cs="Times New Roman"/>
      <w:sz w:val="24"/>
      <w:szCs w:val="24"/>
      <w:lang w:val="es-ES"/>
    </w:rPr>
  </w:style>
  <w:style w:type="paragraph" w:styleId="TOCHeading">
    <w:name w:val="TOC Heading"/>
    <w:basedOn w:val="Heading1"/>
    <w:next w:val="Normal"/>
    <w:uiPriority w:val="39"/>
    <w:unhideWhenUsed/>
    <w:qFormat/>
    <w:rsid w:val="0023177A"/>
    <w:pPr>
      <w:spacing w:before="240"/>
      <w:outlineLvl w:val="9"/>
    </w:pPr>
    <w:rPr>
      <w:sz w:val="32"/>
      <w:szCs w:val="32"/>
      <w:lang w:eastAsia="es-AR"/>
    </w:rPr>
  </w:style>
  <w:style w:type="character" w:styleId="UnresolvedMention">
    <w:name w:val="Unresolved Mention"/>
    <w:basedOn w:val="DefaultParagraphFont"/>
    <w:uiPriority w:val="99"/>
    <w:semiHidden/>
    <w:unhideWhenUsed/>
    <w:rsid w:val="0023177A"/>
    <w:rPr>
      <w:color w:val="605E5C"/>
      <w:shd w:val="clear" w:color="auto" w:fill="E1DFDD"/>
    </w:rPr>
  </w:style>
  <w:style w:type="paragraph" w:styleId="Header">
    <w:name w:val="header"/>
    <w:basedOn w:val="Normal"/>
    <w:link w:val="HeaderChar"/>
    <w:uiPriority w:val="99"/>
    <w:unhideWhenUsed/>
    <w:rsid w:val="00AA7F79"/>
    <w:pPr>
      <w:tabs>
        <w:tab w:val="center" w:pos="4513"/>
        <w:tab w:val="right" w:pos="9026"/>
      </w:tabs>
      <w:spacing w:after="0" w:line="240" w:lineRule="auto"/>
    </w:pPr>
  </w:style>
  <w:style w:type="character" w:customStyle="1" w:styleId="HeaderChar">
    <w:name w:val="Header Char"/>
    <w:basedOn w:val="DefaultParagraphFont"/>
    <w:link w:val="Header"/>
    <w:uiPriority w:val="99"/>
    <w:rsid w:val="00AA7F79"/>
    <w:rPr>
      <w:lang w:bidi="he-IL"/>
    </w:rPr>
  </w:style>
  <w:style w:type="paragraph" w:styleId="Footer">
    <w:name w:val="footer"/>
    <w:basedOn w:val="Normal"/>
    <w:link w:val="FooterChar"/>
    <w:uiPriority w:val="99"/>
    <w:unhideWhenUsed/>
    <w:rsid w:val="00AA7F79"/>
    <w:pPr>
      <w:tabs>
        <w:tab w:val="center" w:pos="4513"/>
        <w:tab w:val="right" w:pos="9026"/>
      </w:tabs>
      <w:spacing w:after="0" w:line="240" w:lineRule="auto"/>
    </w:pPr>
  </w:style>
  <w:style w:type="character" w:customStyle="1" w:styleId="FooterChar">
    <w:name w:val="Footer Char"/>
    <w:basedOn w:val="DefaultParagraphFont"/>
    <w:link w:val="Footer"/>
    <w:uiPriority w:val="99"/>
    <w:rsid w:val="00AA7F79"/>
    <w:rPr>
      <w:lang w:bidi="he-IL"/>
    </w:rPr>
  </w:style>
  <w:style w:type="character" w:styleId="CommentReference">
    <w:name w:val="annotation reference"/>
    <w:basedOn w:val="DefaultParagraphFont"/>
    <w:uiPriority w:val="99"/>
    <w:semiHidden/>
    <w:unhideWhenUsed/>
    <w:rsid w:val="000550EE"/>
    <w:rPr>
      <w:sz w:val="16"/>
      <w:szCs w:val="16"/>
    </w:rPr>
  </w:style>
  <w:style w:type="paragraph" w:styleId="CommentText">
    <w:name w:val="annotation text"/>
    <w:basedOn w:val="Normal"/>
    <w:link w:val="CommentTextChar"/>
    <w:uiPriority w:val="99"/>
    <w:unhideWhenUsed/>
    <w:rsid w:val="000550EE"/>
    <w:pPr>
      <w:spacing w:line="240" w:lineRule="auto"/>
    </w:pPr>
    <w:rPr>
      <w:sz w:val="20"/>
      <w:szCs w:val="20"/>
    </w:rPr>
  </w:style>
  <w:style w:type="character" w:customStyle="1" w:styleId="CommentTextChar">
    <w:name w:val="Comment Text Char"/>
    <w:basedOn w:val="DefaultParagraphFont"/>
    <w:link w:val="CommentText"/>
    <w:uiPriority w:val="99"/>
    <w:rsid w:val="000550EE"/>
    <w:rPr>
      <w:sz w:val="20"/>
      <w:szCs w:val="20"/>
      <w:lang w:bidi="he-IL"/>
    </w:rPr>
  </w:style>
  <w:style w:type="paragraph" w:styleId="CommentSubject">
    <w:name w:val="annotation subject"/>
    <w:basedOn w:val="CommentText"/>
    <w:next w:val="CommentText"/>
    <w:link w:val="CommentSubjectChar"/>
    <w:uiPriority w:val="99"/>
    <w:semiHidden/>
    <w:unhideWhenUsed/>
    <w:rsid w:val="000550EE"/>
    <w:rPr>
      <w:b/>
      <w:bCs/>
    </w:rPr>
  </w:style>
  <w:style w:type="character" w:customStyle="1" w:styleId="CommentSubjectChar">
    <w:name w:val="Comment Subject Char"/>
    <w:basedOn w:val="CommentTextChar"/>
    <w:link w:val="CommentSubject"/>
    <w:uiPriority w:val="99"/>
    <w:semiHidden/>
    <w:rsid w:val="000550EE"/>
    <w:rPr>
      <w:b/>
      <w:bCs/>
      <w:sz w:val="20"/>
      <w:szCs w:val="20"/>
      <w:lang w:bidi="he-IL"/>
    </w:rPr>
  </w:style>
  <w:style w:type="paragraph" w:styleId="TOC3">
    <w:name w:val="toc 3"/>
    <w:basedOn w:val="Normal"/>
    <w:next w:val="Normal"/>
    <w:autoRedefine/>
    <w:uiPriority w:val="39"/>
    <w:unhideWhenUsed/>
    <w:rsid w:val="00623AE8"/>
    <w:pPr>
      <w:spacing w:after="100"/>
      <w:ind w:left="440"/>
    </w:pPr>
  </w:style>
  <w:style w:type="paragraph" w:styleId="Subtitle">
    <w:name w:val="Subtitle"/>
    <w:basedOn w:val="Normal"/>
    <w:next w:val="Normal"/>
    <w:link w:val="SubtitleChar"/>
    <w:uiPriority w:val="11"/>
    <w:qFormat/>
    <w:rPr>
      <w:color w:val="595959"/>
      <w:sz w:val="28"/>
      <w:szCs w:val="28"/>
    </w:rPr>
  </w:style>
  <w:style w:type="character" w:styleId="PlaceholderText">
    <w:name w:val="Placeholder Text"/>
    <w:basedOn w:val="DefaultParagraphFont"/>
    <w:uiPriority w:val="99"/>
    <w:semiHidden/>
    <w:rsid w:val="00176D78"/>
    <w:rPr>
      <w:color w:val="666666"/>
    </w:rPr>
  </w:style>
  <w:style w:type="paragraph" w:styleId="Caption">
    <w:name w:val="caption"/>
    <w:basedOn w:val="Normal"/>
    <w:next w:val="Normal"/>
    <w:uiPriority w:val="35"/>
    <w:semiHidden/>
    <w:unhideWhenUsed/>
    <w:qFormat/>
    <w:rsid w:val="00963DD8"/>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footer" Target="footer1.xml"/><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41" Type="http://schemas.microsoft.com/office/2011/relationships/people" Target="peop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comments" Target="comments.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fontTable" Target="fontTable.xml"/><Relationship Id="rId5" Type="http://schemas.openxmlformats.org/officeDocument/2006/relationships/settings" Target="settings.xml"/><Relationship Id="rId15" Type="http://schemas.microsoft.com/office/2018/08/relationships/commentsExtensible" Target="commentsExtensible.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image" Target="media/image2.png"/><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mailto:dailevit@gmail.com"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8" Type="http://schemas.openxmlformats.org/officeDocument/2006/relationships/endnotes" Target="endnotes.xml"/><Relationship Id="rId3" Type="http://schemas.openxmlformats.org/officeDocument/2006/relationships/numbering" Target="numbering.xml"/><Relationship Id="rId12" Type="http://schemas.microsoft.com/office/2011/relationships/commentsExtended" Target="commentsExtended.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XXM7ZIM5yJwZamvYMNoClUbA3Aw==">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022B5C4A-0DF9-4678-A66F-5F90729EB8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177</TotalTime>
  <Pages>47</Pages>
  <Words>9915</Words>
  <Characters>54537</Characters>
  <Application>Microsoft Office Word</Application>
  <DocSecurity>0</DocSecurity>
  <Lines>454</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Alex</dc:creator>
  <cp:lastModifiedBy>Alex</cp:lastModifiedBy>
  <cp:revision>2</cp:revision>
  <dcterms:created xsi:type="dcterms:W3CDTF">2025-10-29T18:55:00Z</dcterms:created>
  <dcterms:modified xsi:type="dcterms:W3CDTF">2026-02-06T20:27:00Z</dcterms:modified>
</cp:coreProperties>
</file>