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009A" w:rsidRPr="00EA4C1F" w:rsidRDefault="00000000">
      <w:pPr>
        <w:tabs>
          <w:tab w:val="left" w:pos="11530"/>
        </w:tabs>
        <w:spacing w:after="0" w:line="480" w:lineRule="auto"/>
        <w:ind w:firstLine="708"/>
        <w:jc w:val="both"/>
        <w:rPr>
          <w:rFonts w:ascii="Times New Roman" w:eastAsia="Times New Roman" w:hAnsi="Times New Roman" w:cs="Times New Roman"/>
          <w:sz w:val="24"/>
          <w:szCs w:val="24"/>
        </w:rPr>
      </w:pPr>
      <w:r w:rsidRPr="00EA4C1F">
        <w:rPr>
          <w:rFonts w:ascii="Times New Roman" w:eastAsia="Times New Roman" w:hAnsi="Times New Roman" w:cs="Times New Roman"/>
          <w:b/>
          <w:bCs/>
        </w:rPr>
        <w:t xml:space="preserve">   </w:t>
      </w:r>
      <w:sdt>
        <w:sdtPr>
          <w:rPr>
            <w:rFonts w:ascii="Times New Roman" w:hAnsi="Times New Roman" w:cs="Times New Roman"/>
          </w:rPr>
          <w:tag w:val="goog_rdk_0"/>
          <w:id w:val="1078965271"/>
        </w:sdtPr>
        <w:sdtContent>
          <w:commentRangeStart w:id="0"/>
        </w:sdtContent>
      </w:sdt>
      <w:r w:rsidRPr="00EA4C1F">
        <w:rPr>
          <w:rFonts w:ascii="Times New Roman" w:eastAsia="Times New Roman" w:hAnsi="Times New Roman" w:cs="Times New Roman"/>
          <w:b/>
          <w:bCs/>
          <w:noProof/>
          <w:color w:val="000000"/>
        </w:rPr>
        <w:drawing>
          <wp:inline distT="0" distB="0" distL="0" distR="0" wp14:anchorId="12174321" wp14:editId="217709A7">
            <wp:extent cx="2428875" cy="1647825"/>
            <wp:effectExtent l="0" t="0" r="0" b="0"/>
            <wp:docPr id="26" name="image2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1.png" descr="Logotipo&#10;&#10;Descripción generada automáticamente"/>
                    <pic:cNvPicPr preferRelativeResize="0"/>
                  </pic:nvPicPr>
                  <pic:blipFill>
                    <a:blip r:embed="rId9"/>
                    <a:srcRect/>
                    <a:stretch>
                      <a:fillRect/>
                    </a:stretch>
                  </pic:blipFill>
                  <pic:spPr>
                    <a:xfrm>
                      <a:off x="0" y="0"/>
                      <a:ext cx="2428875" cy="1647825"/>
                    </a:xfrm>
                    <a:prstGeom prst="rect">
                      <a:avLst/>
                    </a:prstGeom>
                    <a:ln/>
                  </pic:spPr>
                </pic:pic>
              </a:graphicData>
            </a:graphic>
          </wp:inline>
        </w:drawing>
      </w:r>
      <w:r w:rsidRPr="00EA4C1F">
        <w:rPr>
          <w:rFonts w:ascii="Times New Roman" w:eastAsia="Times New Roman" w:hAnsi="Times New Roman" w:cs="Times New Roman"/>
          <w:b/>
          <w:bCs/>
          <w:color w:val="000000"/>
        </w:rPr>
        <w:t xml:space="preserve">                  </w:t>
      </w:r>
      <w:r w:rsidRPr="00EA4C1F">
        <w:rPr>
          <w:rFonts w:ascii="Times New Roman" w:eastAsia="Times New Roman" w:hAnsi="Times New Roman" w:cs="Times New Roman"/>
          <w:b/>
          <w:bCs/>
          <w:noProof/>
          <w:color w:val="000000"/>
        </w:rPr>
        <w:drawing>
          <wp:inline distT="0" distB="0" distL="0" distR="0" wp14:anchorId="6EBA1C23" wp14:editId="74D66E10">
            <wp:extent cx="1714500" cy="1933575"/>
            <wp:effectExtent l="0" t="0" r="0" b="0"/>
            <wp:docPr id="27" name="image27.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7.png" descr="Logotipo&#10;&#10;Descripción generada automáticamente"/>
                    <pic:cNvPicPr preferRelativeResize="0"/>
                  </pic:nvPicPr>
                  <pic:blipFill>
                    <a:blip r:embed="rId10"/>
                    <a:srcRect/>
                    <a:stretch>
                      <a:fillRect/>
                    </a:stretch>
                  </pic:blipFill>
                  <pic:spPr>
                    <a:xfrm>
                      <a:off x="0" y="0"/>
                      <a:ext cx="1714500" cy="1933575"/>
                    </a:xfrm>
                    <a:prstGeom prst="rect">
                      <a:avLst/>
                    </a:prstGeom>
                    <a:ln/>
                  </pic:spPr>
                </pic:pic>
              </a:graphicData>
            </a:graphic>
          </wp:inline>
        </w:drawing>
      </w:r>
      <w:r w:rsidRPr="00EA4C1F">
        <w:rPr>
          <w:rFonts w:ascii="Times New Roman" w:eastAsia="Times New Roman" w:hAnsi="Times New Roman" w:cs="Times New Roman"/>
          <w:b/>
          <w:bCs/>
          <w:color w:val="000000"/>
        </w:rPr>
        <w:t xml:space="preserve">                    </w:t>
      </w:r>
      <w:r w:rsidRPr="00EA4C1F">
        <w:rPr>
          <w:rFonts w:ascii="Times New Roman" w:eastAsia="Times New Roman" w:hAnsi="Times New Roman" w:cs="Times New Roman"/>
          <w:b/>
          <w:bCs/>
          <w:color w:val="000000"/>
        </w:rPr>
        <w:tab/>
      </w:r>
      <w:commentRangeEnd w:id="0"/>
      <w:r w:rsidRPr="00EA4C1F">
        <w:rPr>
          <w:rFonts w:ascii="Times New Roman" w:hAnsi="Times New Roman" w:cs="Times New Roman"/>
        </w:rPr>
        <w:commentReference w:id="0"/>
      </w:r>
    </w:p>
    <w:p w14:paraId="00000002" w14:textId="77777777" w:rsidR="00E6009A" w:rsidRPr="00EA4C1F" w:rsidRDefault="00E6009A">
      <w:pPr>
        <w:spacing w:after="0" w:line="480" w:lineRule="auto"/>
        <w:jc w:val="both"/>
        <w:rPr>
          <w:rFonts w:ascii="Times New Roman" w:eastAsia="Times New Roman" w:hAnsi="Times New Roman" w:cs="Times New Roman"/>
          <w:sz w:val="24"/>
          <w:szCs w:val="24"/>
        </w:rPr>
      </w:pPr>
    </w:p>
    <w:p w14:paraId="00000003" w14:textId="77777777" w:rsidR="00E6009A" w:rsidRPr="00EA4C1F" w:rsidRDefault="00000000">
      <w:pPr>
        <w:spacing w:after="0" w:line="480" w:lineRule="auto"/>
        <w:jc w:val="both"/>
        <w:rPr>
          <w:rFonts w:ascii="Times New Roman" w:eastAsia="Times New Roman" w:hAnsi="Times New Roman" w:cs="Times New Roman"/>
          <w:b/>
          <w:bCs/>
          <w:color w:val="000000"/>
          <w:sz w:val="36"/>
          <w:szCs w:val="36"/>
        </w:rPr>
      </w:pPr>
      <w:r w:rsidRPr="00EA4C1F">
        <w:rPr>
          <w:rFonts w:ascii="Times New Roman" w:eastAsia="Times New Roman" w:hAnsi="Times New Roman" w:cs="Times New Roman"/>
          <w:b/>
          <w:bCs/>
          <w:color w:val="000000"/>
          <w:sz w:val="36"/>
          <w:szCs w:val="36"/>
        </w:rPr>
        <w:t>UNIVERSIDAD DE BUENOS AIRES</w:t>
      </w:r>
    </w:p>
    <w:p w14:paraId="00000004" w14:textId="77777777" w:rsidR="00E6009A" w:rsidRPr="00EA4C1F" w:rsidRDefault="00000000">
      <w:pPr>
        <w:spacing w:after="0" w:line="480" w:lineRule="auto"/>
        <w:jc w:val="both"/>
        <w:rPr>
          <w:rFonts w:ascii="Times New Roman" w:eastAsia="Times New Roman" w:hAnsi="Times New Roman" w:cs="Times New Roman"/>
          <w:b/>
          <w:bCs/>
          <w:color w:val="000000"/>
          <w:sz w:val="28"/>
          <w:szCs w:val="28"/>
        </w:rPr>
      </w:pPr>
      <w:r w:rsidRPr="00EA4C1F">
        <w:rPr>
          <w:rFonts w:ascii="Times New Roman" w:eastAsia="Times New Roman" w:hAnsi="Times New Roman" w:cs="Times New Roman"/>
          <w:b/>
          <w:bCs/>
          <w:color w:val="000000"/>
          <w:sz w:val="28"/>
          <w:szCs w:val="28"/>
        </w:rPr>
        <w:t>Facultad de Ciencias Económicas</w:t>
      </w:r>
    </w:p>
    <w:p w14:paraId="00000005" w14:textId="77777777" w:rsidR="00E6009A" w:rsidRPr="00EA4C1F" w:rsidRDefault="00E6009A">
      <w:pPr>
        <w:spacing w:after="0" w:line="480" w:lineRule="auto"/>
        <w:jc w:val="both"/>
        <w:rPr>
          <w:rFonts w:ascii="Times New Roman" w:eastAsia="Times New Roman" w:hAnsi="Times New Roman" w:cs="Times New Roman"/>
          <w:b/>
          <w:bCs/>
          <w:color w:val="000000"/>
          <w:sz w:val="32"/>
          <w:szCs w:val="32"/>
        </w:rPr>
      </w:pPr>
    </w:p>
    <w:p w14:paraId="00000006" w14:textId="77777777" w:rsidR="00E6009A" w:rsidRPr="00EA4C1F" w:rsidRDefault="00000000">
      <w:pPr>
        <w:spacing w:after="0" w:line="480" w:lineRule="auto"/>
        <w:jc w:val="both"/>
        <w:rPr>
          <w:rFonts w:ascii="Times New Roman" w:eastAsia="Times New Roman" w:hAnsi="Times New Roman" w:cs="Times New Roman"/>
          <w:b/>
          <w:bCs/>
          <w:color w:val="000000"/>
          <w:sz w:val="32"/>
          <w:szCs w:val="32"/>
        </w:rPr>
      </w:pPr>
      <w:r w:rsidRPr="00EA4C1F">
        <w:rPr>
          <w:rFonts w:ascii="Times New Roman" w:eastAsia="Times New Roman" w:hAnsi="Times New Roman" w:cs="Times New Roman"/>
          <w:b/>
          <w:bCs/>
          <w:color w:val="000000"/>
          <w:sz w:val="32"/>
          <w:szCs w:val="32"/>
        </w:rPr>
        <w:t>Práctica Profesional del Actuario</w:t>
      </w:r>
    </w:p>
    <w:p w14:paraId="00000007" w14:textId="77777777" w:rsidR="00E6009A" w:rsidRPr="00EA4C1F" w:rsidRDefault="00000000">
      <w:pPr>
        <w:spacing w:after="0" w:line="480" w:lineRule="auto"/>
        <w:jc w:val="both"/>
        <w:rPr>
          <w:rFonts w:ascii="Times New Roman" w:eastAsia="Times New Roman" w:hAnsi="Times New Roman" w:cs="Times New Roman"/>
        </w:rPr>
      </w:pPr>
      <w:r w:rsidRPr="00EA4C1F">
        <w:rPr>
          <w:rFonts w:ascii="Times New Roman" w:eastAsia="Times New Roman" w:hAnsi="Times New Roman" w:cs="Times New Roman"/>
          <w:b/>
          <w:bCs/>
          <w:color w:val="000000"/>
          <w:sz w:val="28"/>
          <w:szCs w:val="28"/>
        </w:rPr>
        <w:t> “</w:t>
      </w:r>
      <w:r w:rsidRPr="00EA4C1F">
        <w:rPr>
          <w:rFonts w:ascii="Times New Roman" w:eastAsia="Times New Roman" w:hAnsi="Times New Roman" w:cs="Times New Roman"/>
        </w:rPr>
        <w:t>Análisis y comparación de metodologías de reservas para siniestros incurridos, pero no reportados (IBNR) bajo la normativa IFRS 17 y el Reglamento General de la Actividad Aseguradora (RGAA) para el ramo de Responsabilidad Civil Automotor.</w:t>
      </w:r>
      <w:r w:rsidRPr="00EA4C1F">
        <w:rPr>
          <w:rFonts w:ascii="Times New Roman" w:eastAsia="Times New Roman" w:hAnsi="Times New Roman" w:cs="Times New Roman"/>
          <w:b/>
          <w:bCs/>
          <w:color w:val="000000"/>
          <w:sz w:val="28"/>
          <w:szCs w:val="28"/>
        </w:rPr>
        <w:t>”</w:t>
      </w:r>
    </w:p>
    <w:p w14:paraId="00000008" w14:textId="77777777" w:rsidR="00E6009A" w:rsidRPr="00EA4C1F" w:rsidRDefault="00000000">
      <w:pPr>
        <w:spacing w:after="0" w:line="276" w:lineRule="auto"/>
        <w:jc w:val="both"/>
        <w:rPr>
          <w:rFonts w:ascii="Times New Roman" w:eastAsia="Times New Roman" w:hAnsi="Times New Roman" w:cs="Times New Roman"/>
          <w:color w:val="000000"/>
          <w:sz w:val="24"/>
          <w:szCs w:val="24"/>
        </w:rPr>
      </w:pPr>
      <w:r w:rsidRPr="00EA4C1F">
        <w:rPr>
          <w:rFonts w:ascii="Times New Roman" w:eastAsia="Times New Roman" w:hAnsi="Times New Roman" w:cs="Times New Roman"/>
          <w:b/>
          <w:bCs/>
          <w:color w:val="000000"/>
          <w:sz w:val="24"/>
          <w:szCs w:val="24"/>
        </w:rPr>
        <w:t xml:space="preserve">Alumno:  </w:t>
      </w:r>
      <w:r w:rsidRPr="00EA4C1F">
        <w:rPr>
          <w:rFonts w:ascii="Times New Roman" w:eastAsia="Times New Roman" w:hAnsi="Times New Roman" w:cs="Times New Roman"/>
          <w:color w:val="000000"/>
          <w:sz w:val="24"/>
          <w:szCs w:val="24"/>
        </w:rPr>
        <w:t>Alex Dan Burs</w:t>
      </w:r>
    </w:p>
    <w:p w14:paraId="00000009" w14:textId="77777777" w:rsidR="00E6009A" w:rsidRPr="00EA4C1F" w:rsidRDefault="00000000">
      <w:pPr>
        <w:spacing w:after="0" w:line="276" w:lineRule="auto"/>
        <w:jc w:val="both"/>
        <w:rPr>
          <w:rFonts w:ascii="Times New Roman" w:eastAsia="Times New Roman" w:hAnsi="Times New Roman" w:cs="Times New Roman"/>
          <w:color w:val="000000"/>
          <w:sz w:val="24"/>
          <w:szCs w:val="24"/>
        </w:rPr>
      </w:pPr>
      <w:r w:rsidRPr="00EA4C1F">
        <w:rPr>
          <w:rFonts w:ascii="Times New Roman" w:eastAsia="Times New Roman" w:hAnsi="Times New Roman" w:cs="Times New Roman"/>
          <w:b/>
          <w:bCs/>
          <w:color w:val="000000"/>
          <w:sz w:val="24"/>
          <w:szCs w:val="24"/>
        </w:rPr>
        <w:t xml:space="preserve">E-Mail:  </w:t>
      </w:r>
      <w:r w:rsidRPr="00EA4C1F">
        <w:rPr>
          <w:rFonts w:ascii="Times New Roman" w:eastAsia="Times New Roman" w:hAnsi="Times New Roman" w:cs="Times New Roman"/>
          <w:color w:val="000000"/>
          <w:sz w:val="24"/>
          <w:szCs w:val="24"/>
        </w:rPr>
        <w:t>alexd.burs@gmail.com</w:t>
      </w:r>
    </w:p>
    <w:p w14:paraId="0000000A" w14:textId="77777777" w:rsidR="00E6009A" w:rsidRPr="00EA4C1F" w:rsidRDefault="00000000">
      <w:pPr>
        <w:spacing w:after="0" w:line="276" w:lineRule="auto"/>
        <w:jc w:val="both"/>
        <w:rPr>
          <w:rFonts w:ascii="Times New Roman" w:eastAsia="Times New Roman" w:hAnsi="Times New Roman" w:cs="Times New Roman"/>
          <w:color w:val="000000"/>
          <w:sz w:val="24"/>
          <w:szCs w:val="24"/>
        </w:rPr>
      </w:pPr>
      <w:r w:rsidRPr="00EA4C1F">
        <w:rPr>
          <w:rFonts w:ascii="Times New Roman" w:eastAsia="Times New Roman" w:hAnsi="Times New Roman" w:cs="Times New Roman"/>
          <w:b/>
          <w:bCs/>
          <w:color w:val="000000"/>
          <w:sz w:val="24"/>
          <w:szCs w:val="24"/>
        </w:rPr>
        <w:t xml:space="preserve">Registro:  </w:t>
      </w:r>
      <w:r w:rsidRPr="00EA4C1F">
        <w:rPr>
          <w:rFonts w:ascii="Times New Roman" w:eastAsia="Times New Roman" w:hAnsi="Times New Roman" w:cs="Times New Roman"/>
          <w:color w:val="000000"/>
          <w:sz w:val="24"/>
          <w:szCs w:val="24"/>
        </w:rPr>
        <w:t>888.188</w:t>
      </w:r>
    </w:p>
    <w:p w14:paraId="0000000B" w14:textId="77777777" w:rsidR="00E6009A" w:rsidRPr="00EA4C1F" w:rsidRDefault="00E6009A">
      <w:pPr>
        <w:spacing w:after="0" w:line="276" w:lineRule="auto"/>
        <w:jc w:val="both"/>
        <w:rPr>
          <w:rFonts w:ascii="Times New Roman" w:eastAsia="Times New Roman" w:hAnsi="Times New Roman" w:cs="Times New Roman"/>
        </w:rPr>
      </w:pPr>
    </w:p>
    <w:p w14:paraId="0000000C" w14:textId="77777777" w:rsidR="00E6009A" w:rsidRPr="00EA4C1F" w:rsidRDefault="00000000">
      <w:pPr>
        <w:spacing w:after="0" w:line="276" w:lineRule="auto"/>
        <w:jc w:val="both"/>
        <w:rPr>
          <w:rFonts w:ascii="Times New Roman" w:eastAsia="Times New Roman" w:hAnsi="Times New Roman" w:cs="Times New Roman"/>
          <w:color w:val="000000"/>
          <w:sz w:val="24"/>
          <w:szCs w:val="24"/>
        </w:rPr>
      </w:pPr>
      <w:r w:rsidRPr="00EA4C1F">
        <w:rPr>
          <w:rFonts w:ascii="Times New Roman" w:eastAsia="Times New Roman" w:hAnsi="Times New Roman" w:cs="Times New Roman"/>
          <w:b/>
          <w:bCs/>
          <w:color w:val="000000"/>
          <w:sz w:val="24"/>
          <w:szCs w:val="24"/>
        </w:rPr>
        <w:t>Tutor/a</w:t>
      </w:r>
      <w:r w:rsidRPr="00EA4C1F">
        <w:rPr>
          <w:rFonts w:ascii="Times New Roman" w:eastAsia="Times New Roman" w:hAnsi="Times New Roman" w:cs="Times New Roman"/>
          <w:color w:val="000000"/>
          <w:sz w:val="24"/>
          <w:szCs w:val="24"/>
        </w:rPr>
        <w:t>: Daiana Levit</w:t>
      </w:r>
    </w:p>
    <w:p w14:paraId="0000000D" w14:textId="77777777" w:rsidR="00E6009A" w:rsidRPr="00EA4C1F" w:rsidRDefault="00000000">
      <w:pPr>
        <w:spacing w:after="0" w:line="276" w:lineRule="auto"/>
        <w:jc w:val="both"/>
        <w:rPr>
          <w:rFonts w:ascii="Times New Roman" w:eastAsia="Times New Roman" w:hAnsi="Times New Roman" w:cs="Times New Roman"/>
        </w:rPr>
      </w:pPr>
      <w:r w:rsidRPr="00EA4C1F">
        <w:rPr>
          <w:rFonts w:ascii="Times New Roman" w:eastAsia="Times New Roman" w:hAnsi="Times New Roman" w:cs="Times New Roman"/>
          <w:b/>
          <w:bCs/>
          <w:color w:val="000000"/>
          <w:sz w:val="24"/>
          <w:szCs w:val="24"/>
        </w:rPr>
        <w:t xml:space="preserve">E-Mail: </w:t>
      </w:r>
      <w:r w:rsidRPr="00EA4C1F">
        <w:rPr>
          <w:rFonts w:ascii="Times New Roman" w:eastAsia="Times New Roman" w:hAnsi="Times New Roman" w:cs="Times New Roman"/>
          <w:color w:val="000000"/>
          <w:sz w:val="24"/>
          <w:szCs w:val="24"/>
        </w:rPr>
        <w:t> </w:t>
      </w:r>
      <w:hyperlink r:id="rId14">
        <w:r w:rsidR="00E6009A" w:rsidRPr="00EA4C1F">
          <w:rPr>
            <w:rFonts w:ascii="Times New Roman" w:eastAsia="Times New Roman" w:hAnsi="Times New Roman" w:cs="Times New Roman"/>
            <w:color w:val="467886"/>
            <w:sz w:val="24"/>
            <w:szCs w:val="24"/>
          </w:rPr>
          <w:t>dailevit@gmail.com</w:t>
        </w:r>
      </w:hyperlink>
    </w:p>
    <w:p w14:paraId="0000000E" w14:textId="77777777" w:rsidR="00E6009A" w:rsidRPr="00EA4C1F" w:rsidRDefault="00000000">
      <w:pPr>
        <w:spacing w:after="0" w:line="276" w:lineRule="auto"/>
        <w:jc w:val="both"/>
        <w:rPr>
          <w:rFonts w:ascii="Times New Roman" w:eastAsia="Times New Roman" w:hAnsi="Times New Roman" w:cs="Times New Roman"/>
        </w:rPr>
      </w:pPr>
      <w:r w:rsidRPr="00EA4C1F">
        <w:rPr>
          <w:rFonts w:ascii="Times New Roman" w:eastAsia="Times New Roman" w:hAnsi="Times New Roman" w:cs="Times New Roman"/>
          <w:b/>
          <w:bCs/>
          <w:color w:val="000000"/>
          <w:sz w:val="24"/>
          <w:szCs w:val="24"/>
        </w:rPr>
        <w:t xml:space="preserve">Firma: </w:t>
      </w:r>
      <w:r w:rsidRPr="00EA4C1F">
        <w:rPr>
          <w:rFonts w:ascii="Times New Roman" w:eastAsia="Times New Roman" w:hAnsi="Times New Roman" w:cs="Times New Roman"/>
          <w:color w:val="000000"/>
          <w:sz w:val="24"/>
          <w:szCs w:val="24"/>
        </w:rPr>
        <w:t> </w:t>
      </w:r>
    </w:p>
    <w:p w14:paraId="0000000F" w14:textId="77777777" w:rsidR="00E6009A" w:rsidRPr="00EA4C1F" w:rsidRDefault="00E6009A">
      <w:pPr>
        <w:spacing w:after="0" w:line="480" w:lineRule="auto"/>
        <w:jc w:val="both"/>
        <w:rPr>
          <w:rFonts w:ascii="Times New Roman" w:eastAsia="Times New Roman" w:hAnsi="Times New Roman" w:cs="Times New Roman"/>
          <w:color w:val="000000"/>
          <w:sz w:val="28"/>
          <w:szCs w:val="28"/>
        </w:rPr>
      </w:pPr>
    </w:p>
    <w:p w14:paraId="00000010" w14:textId="77777777" w:rsidR="00E6009A" w:rsidRPr="00EA4C1F" w:rsidRDefault="00000000" w:rsidP="00EA4C1F">
      <w:pPr>
        <w:pStyle w:val="Heading1"/>
      </w:pPr>
      <w:bookmarkStart w:id="1" w:name="_Toc221446722"/>
      <w:r w:rsidRPr="00EA4C1F">
        <w:lastRenderedPageBreak/>
        <w:t>Resumen</w:t>
      </w:r>
      <w:bookmarkEnd w:id="1"/>
    </w:p>
    <w:p w14:paraId="00000012" w14:textId="33F4A8F2"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el presente texto, se busca llevar a cabo un análisis de la efectividad de la nueva metodología de cálculo de reservas de siniestros </w:t>
      </w:r>
      <w:r w:rsidR="004B19D0" w:rsidRPr="00EA4C1F">
        <w:rPr>
          <w:rFonts w:ascii="Times New Roman" w:eastAsia="Times New Roman" w:hAnsi="Times New Roman" w:cs="Times New Roman"/>
          <w:sz w:val="24"/>
          <w:szCs w:val="24"/>
        </w:rPr>
        <w:t>incurridos,</w:t>
      </w:r>
      <w:r w:rsidRPr="00EA4C1F">
        <w:rPr>
          <w:rFonts w:ascii="Times New Roman" w:eastAsia="Times New Roman" w:hAnsi="Times New Roman" w:cs="Times New Roman"/>
          <w:sz w:val="24"/>
          <w:szCs w:val="24"/>
        </w:rPr>
        <w:t xml:space="preserve"> pero no reportados (IBNR, por sus siglas en inglés </w:t>
      </w:r>
      <w:proofErr w:type="spellStart"/>
      <w:r w:rsidRPr="00EA4C1F">
        <w:rPr>
          <w:rFonts w:ascii="Times New Roman" w:eastAsia="Times New Roman" w:hAnsi="Times New Roman" w:cs="Times New Roman"/>
          <w:sz w:val="24"/>
          <w:szCs w:val="24"/>
        </w:rPr>
        <w:t>Incurred</w:t>
      </w:r>
      <w:proofErr w:type="spellEnd"/>
      <w:r w:rsidRPr="00EA4C1F">
        <w:rPr>
          <w:rFonts w:ascii="Times New Roman" w:eastAsia="Times New Roman" w:hAnsi="Times New Roman" w:cs="Times New Roman"/>
          <w:sz w:val="24"/>
          <w:szCs w:val="24"/>
        </w:rPr>
        <w:t xml:space="preserve"> But Not </w:t>
      </w:r>
      <w:proofErr w:type="spellStart"/>
      <w:r w:rsidRPr="00EA4C1F">
        <w:rPr>
          <w:rFonts w:ascii="Times New Roman" w:eastAsia="Times New Roman" w:hAnsi="Times New Roman" w:cs="Times New Roman"/>
          <w:sz w:val="24"/>
          <w:szCs w:val="24"/>
        </w:rPr>
        <w:t>Reported</w:t>
      </w:r>
      <w:proofErr w:type="spellEnd"/>
      <w:r w:rsidRPr="00EA4C1F">
        <w:rPr>
          <w:rFonts w:ascii="Times New Roman" w:eastAsia="Times New Roman" w:hAnsi="Times New Roman" w:cs="Times New Roman"/>
          <w:sz w:val="24"/>
          <w:szCs w:val="24"/>
        </w:rPr>
        <w:t>), dispuesta en la</w:t>
      </w:r>
      <w:r w:rsidR="00467B4D">
        <w:rPr>
          <w:rFonts w:ascii="Times New Roman" w:eastAsia="Times New Roman" w:hAnsi="Times New Roman" w:cs="Times New Roman"/>
          <w:sz w:val="24"/>
          <w:szCs w:val="24"/>
        </w:rPr>
        <w:t xml:space="preserve"> </w:t>
      </w:r>
      <w:r w:rsidRPr="004B19D0">
        <w:rPr>
          <w:rFonts w:ascii="Times New Roman" w:eastAsia="Times New Roman" w:hAnsi="Times New Roman" w:cs="Times New Roman"/>
          <w:color w:val="000000" w:themeColor="text1"/>
          <w:sz w:val="24"/>
          <w:szCs w:val="24"/>
        </w:rPr>
        <w:t>Resolución</w:t>
      </w:r>
      <w:r w:rsidR="00CF592D">
        <w:rPr>
          <w:rFonts w:ascii="Times New Roman" w:eastAsia="Times New Roman" w:hAnsi="Times New Roman" w:cs="Times New Roman"/>
          <w:color w:val="000000" w:themeColor="text1"/>
          <w:sz w:val="24"/>
          <w:szCs w:val="24"/>
        </w:rPr>
        <w:t xml:space="preserve"> SSN-MEC</w:t>
      </w:r>
      <w:r w:rsidRPr="004B19D0">
        <w:rPr>
          <w:rFonts w:ascii="Times New Roman" w:eastAsia="Times New Roman" w:hAnsi="Times New Roman" w:cs="Times New Roman"/>
          <w:color w:val="000000" w:themeColor="text1"/>
          <w:sz w:val="24"/>
          <w:szCs w:val="24"/>
        </w:rPr>
        <w:t xml:space="preserve"> 287</w:t>
      </w:r>
      <w:r w:rsidR="00085488" w:rsidRPr="004B19D0">
        <w:rPr>
          <w:rFonts w:ascii="Times New Roman" w:eastAsia="Times New Roman" w:hAnsi="Times New Roman" w:cs="Times New Roman"/>
          <w:color w:val="000000" w:themeColor="text1"/>
          <w:sz w:val="24"/>
          <w:szCs w:val="24"/>
        </w:rPr>
        <w:t>/</w:t>
      </w:r>
      <w:r w:rsidR="00CF592D" w:rsidRPr="004B19D0">
        <w:rPr>
          <w:rFonts w:ascii="Times New Roman" w:eastAsia="Times New Roman" w:hAnsi="Times New Roman" w:cs="Times New Roman"/>
          <w:color w:val="000000" w:themeColor="text1"/>
          <w:sz w:val="24"/>
          <w:szCs w:val="24"/>
        </w:rPr>
        <w:t>2025</w:t>
      </w:r>
      <w:sdt>
        <w:sdtPr>
          <w:rPr>
            <w:rFonts w:ascii="Times New Roman" w:eastAsia="Times New Roman" w:hAnsi="Times New Roman" w:cs="Times New Roman"/>
            <w:color w:val="000000" w:themeColor="text1"/>
            <w:sz w:val="24"/>
            <w:szCs w:val="24"/>
          </w:rPr>
          <w:id w:val="-1393500724"/>
          <w:citation/>
        </w:sdtPr>
        <w:sdtContent>
          <w:r w:rsidR="00CF592D">
            <w:rPr>
              <w:rFonts w:ascii="Times New Roman" w:eastAsia="Times New Roman" w:hAnsi="Times New Roman" w:cs="Times New Roman"/>
              <w:color w:val="000000" w:themeColor="text1"/>
              <w:sz w:val="24"/>
              <w:szCs w:val="24"/>
            </w:rPr>
            <w:fldChar w:fldCharType="begin"/>
          </w:r>
          <w:r w:rsidR="00FF349E">
            <w:rPr>
              <w:rFonts w:ascii="Times New Roman" w:eastAsia="Times New Roman" w:hAnsi="Times New Roman" w:cs="Times New Roman"/>
              <w:color w:val="000000" w:themeColor="text1"/>
              <w:sz w:val="24"/>
              <w:szCs w:val="24"/>
            </w:rPr>
            <w:instrText xml:space="preserve">CITATION SSN1 \l 1033 </w:instrText>
          </w:r>
          <w:r w:rsidR="00CF592D">
            <w:rPr>
              <w:rFonts w:ascii="Times New Roman" w:eastAsia="Times New Roman" w:hAnsi="Times New Roman" w:cs="Times New Roman"/>
              <w:color w:val="000000" w:themeColor="text1"/>
              <w:sz w:val="24"/>
              <w:szCs w:val="24"/>
            </w:rPr>
            <w:fldChar w:fldCharType="separate"/>
          </w:r>
          <w:r w:rsidR="00962F7A">
            <w:rPr>
              <w:rFonts w:ascii="Times New Roman" w:eastAsia="Times New Roman" w:hAnsi="Times New Roman" w:cs="Times New Roman"/>
              <w:noProof/>
              <w:color w:val="000000" w:themeColor="text1"/>
              <w:sz w:val="24"/>
              <w:szCs w:val="24"/>
            </w:rPr>
            <w:t xml:space="preserve"> </w:t>
          </w:r>
          <w:r w:rsidR="00962F7A" w:rsidRPr="00962F7A">
            <w:rPr>
              <w:rFonts w:ascii="Times New Roman" w:eastAsia="Times New Roman" w:hAnsi="Times New Roman" w:cs="Times New Roman"/>
              <w:noProof/>
              <w:color w:val="000000" w:themeColor="text1"/>
              <w:sz w:val="24"/>
              <w:szCs w:val="24"/>
            </w:rPr>
            <w:t>(Superintendencia de Seguros de la Nación, 2025)</w:t>
          </w:r>
          <w:r w:rsidR="00CF592D">
            <w:rPr>
              <w:rFonts w:ascii="Times New Roman" w:eastAsia="Times New Roman" w:hAnsi="Times New Roman" w:cs="Times New Roman"/>
              <w:color w:val="000000" w:themeColor="text1"/>
              <w:sz w:val="24"/>
              <w:szCs w:val="24"/>
            </w:rPr>
            <w:fldChar w:fldCharType="end"/>
          </w:r>
        </w:sdtContent>
      </w:sdt>
      <w:r w:rsidR="00CF592D" w:rsidRPr="00CF592D">
        <w:rPr>
          <w:rFonts w:ascii="Times New Roman" w:eastAsia="Times New Roman" w:hAnsi="Times New Roman" w:cs="Times New Roman"/>
          <w:color w:val="000000" w:themeColor="text1"/>
          <w:sz w:val="24"/>
          <w:szCs w:val="24"/>
        </w:rPr>
        <w:t xml:space="preserve"> e </w:t>
      </w:r>
      <w:r w:rsidRPr="00EA4C1F">
        <w:rPr>
          <w:rFonts w:ascii="Times New Roman" w:eastAsia="Times New Roman" w:hAnsi="Times New Roman" w:cs="Times New Roman"/>
          <w:sz w:val="24"/>
          <w:szCs w:val="24"/>
        </w:rPr>
        <w:t xml:space="preserve">incorporada al </w:t>
      </w:r>
      <w:r w:rsidRPr="00344981">
        <w:rPr>
          <w:rFonts w:ascii="Times New Roman" w:eastAsia="Times New Roman" w:hAnsi="Times New Roman" w:cs="Times New Roman"/>
          <w:sz w:val="24"/>
          <w:szCs w:val="24"/>
        </w:rPr>
        <w:t>Reglamento General de la Actividad Asegurador</w:t>
      </w:r>
      <w:r w:rsidR="004B19D0" w:rsidRPr="00344981">
        <w:rPr>
          <w:rFonts w:ascii="Times New Roman" w:eastAsia="Times New Roman" w:hAnsi="Times New Roman" w:cs="Times New Roman"/>
          <w:sz w:val="24"/>
          <w:szCs w:val="24"/>
        </w:rPr>
        <w:t>a</w:t>
      </w:r>
      <w:r w:rsidRPr="00EA4C1F">
        <w:rPr>
          <w:rFonts w:ascii="Times New Roman" w:eastAsia="Times New Roman" w:hAnsi="Times New Roman" w:cs="Times New Roman"/>
          <w:sz w:val="24"/>
          <w:szCs w:val="24"/>
        </w:rPr>
        <w:t xml:space="preserve"> </w:t>
      </w:r>
      <w:r w:rsidR="00CF592D">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RGAA</w:t>
      </w:r>
      <w:r w:rsidR="00CF592D">
        <w:rPr>
          <w:rFonts w:ascii="Times New Roman" w:eastAsia="Times New Roman" w:hAnsi="Times New Roman" w:cs="Times New Roman"/>
          <w:sz w:val="24"/>
          <w:szCs w:val="24"/>
        </w:rPr>
        <w:t>]</w:t>
      </w:r>
      <w:sdt>
        <w:sdtPr>
          <w:rPr>
            <w:rFonts w:ascii="Times New Roman" w:eastAsia="Times New Roman" w:hAnsi="Times New Roman" w:cs="Times New Roman"/>
            <w:sz w:val="24"/>
            <w:szCs w:val="24"/>
          </w:rPr>
          <w:id w:val="-719985443"/>
          <w:citation/>
        </w:sdtPr>
        <w:sdtContent>
          <w:r w:rsidR="00344981">
            <w:rPr>
              <w:rFonts w:ascii="Times New Roman" w:eastAsia="Times New Roman" w:hAnsi="Times New Roman" w:cs="Times New Roman"/>
              <w:sz w:val="24"/>
              <w:szCs w:val="24"/>
            </w:rPr>
            <w:fldChar w:fldCharType="begin"/>
          </w:r>
          <w:r w:rsidR="00680293">
            <w:rPr>
              <w:rFonts w:ascii="Times New Roman" w:eastAsia="Times New Roman" w:hAnsi="Times New Roman" w:cs="Times New Roman"/>
              <w:sz w:val="24"/>
              <w:szCs w:val="24"/>
            </w:rPr>
            <w:instrText xml:space="preserve">CITATION RGAA \l 1033 </w:instrText>
          </w:r>
          <w:r w:rsidR="0034498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34498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y su comparación con métodos usualmente empleados para la normativa </w:t>
      </w:r>
      <w:r w:rsidRPr="00344981">
        <w:rPr>
          <w:rFonts w:ascii="Times New Roman" w:eastAsia="Times New Roman" w:hAnsi="Times New Roman" w:cs="Times New Roman"/>
          <w:sz w:val="24"/>
          <w:szCs w:val="24"/>
        </w:rPr>
        <w:t xml:space="preserve">International </w:t>
      </w:r>
      <w:proofErr w:type="spellStart"/>
      <w:r w:rsidRPr="00344981">
        <w:rPr>
          <w:rFonts w:ascii="Times New Roman" w:eastAsia="Times New Roman" w:hAnsi="Times New Roman" w:cs="Times New Roman"/>
          <w:sz w:val="24"/>
          <w:szCs w:val="24"/>
        </w:rPr>
        <w:t>Financial</w:t>
      </w:r>
      <w:proofErr w:type="spellEnd"/>
      <w:r w:rsidRPr="00344981">
        <w:rPr>
          <w:rFonts w:ascii="Times New Roman" w:eastAsia="Times New Roman" w:hAnsi="Times New Roman" w:cs="Times New Roman"/>
          <w:sz w:val="24"/>
          <w:szCs w:val="24"/>
        </w:rPr>
        <w:t xml:space="preserve"> </w:t>
      </w:r>
      <w:proofErr w:type="spellStart"/>
      <w:r w:rsidRPr="00344981">
        <w:rPr>
          <w:rFonts w:ascii="Times New Roman" w:eastAsia="Times New Roman" w:hAnsi="Times New Roman" w:cs="Times New Roman"/>
          <w:sz w:val="24"/>
          <w:szCs w:val="24"/>
        </w:rPr>
        <w:t>Reporting</w:t>
      </w:r>
      <w:proofErr w:type="spellEnd"/>
      <w:r w:rsidRPr="00344981">
        <w:rPr>
          <w:rFonts w:ascii="Times New Roman" w:eastAsia="Times New Roman" w:hAnsi="Times New Roman" w:cs="Times New Roman"/>
          <w:sz w:val="24"/>
          <w:szCs w:val="24"/>
        </w:rPr>
        <w:t xml:space="preserve"> </w:t>
      </w:r>
      <w:proofErr w:type="spellStart"/>
      <w:r w:rsidRPr="00344981">
        <w:rPr>
          <w:rFonts w:ascii="Times New Roman" w:eastAsia="Times New Roman" w:hAnsi="Times New Roman" w:cs="Times New Roman"/>
          <w:sz w:val="24"/>
          <w:szCs w:val="24"/>
        </w:rPr>
        <w:t>Standards</w:t>
      </w:r>
      <w:proofErr w:type="spellEnd"/>
      <w:r w:rsidRPr="00344981">
        <w:rPr>
          <w:rFonts w:ascii="Times New Roman" w:eastAsia="Times New Roman" w:hAnsi="Times New Roman" w:cs="Times New Roman"/>
          <w:sz w:val="24"/>
          <w:szCs w:val="24"/>
        </w:rPr>
        <w:t xml:space="preserve"> 1</w:t>
      </w:r>
      <w:r w:rsidR="004B19D0" w:rsidRPr="00344981">
        <w:rPr>
          <w:rFonts w:ascii="Times New Roman" w:eastAsia="Times New Roman" w:hAnsi="Times New Roman" w:cs="Times New Roman"/>
          <w:sz w:val="24"/>
          <w:szCs w:val="24"/>
        </w:rPr>
        <w:t>7</w:t>
      </w:r>
      <w:r w:rsidRPr="00EA4C1F">
        <w:rPr>
          <w:rFonts w:ascii="Times New Roman" w:eastAsia="Times New Roman" w:hAnsi="Times New Roman" w:cs="Times New Roman"/>
          <w:sz w:val="24"/>
          <w:szCs w:val="24"/>
        </w:rPr>
        <w:t xml:space="preserve"> </w:t>
      </w:r>
      <w:r w:rsidR="00344981">
        <w:rPr>
          <w:rFonts w:ascii="Times New Roman" w:eastAsia="Times New Roman" w:hAnsi="Times New Roman" w:cs="Times New Roman"/>
          <w:sz w:val="24"/>
          <w:szCs w:val="24"/>
        </w:rPr>
        <w:t>[IFRS17]</w:t>
      </w:r>
      <w:sdt>
        <w:sdtPr>
          <w:rPr>
            <w:rFonts w:ascii="Times New Roman" w:eastAsia="Times New Roman" w:hAnsi="Times New Roman" w:cs="Times New Roman"/>
            <w:sz w:val="24"/>
            <w:szCs w:val="24"/>
          </w:rPr>
          <w:id w:val="1584328151"/>
          <w:citation/>
        </w:sdtPr>
        <w:sdtContent>
          <w:r w:rsidR="00344981">
            <w:rPr>
              <w:rFonts w:ascii="Times New Roman" w:eastAsia="Times New Roman" w:hAnsi="Times New Roman" w:cs="Times New Roman"/>
              <w:sz w:val="24"/>
              <w:szCs w:val="24"/>
            </w:rPr>
            <w:fldChar w:fldCharType="begin"/>
          </w:r>
          <w:r w:rsidR="00680293">
            <w:rPr>
              <w:rFonts w:ascii="Times New Roman" w:eastAsia="Times New Roman" w:hAnsi="Times New Roman" w:cs="Times New Roman"/>
              <w:sz w:val="24"/>
              <w:szCs w:val="24"/>
            </w:rPr>
            <w:instrText xml:space="preserve">CITATION IFRS17 \l 1033 </w:instrText>
          </w:r>
          <w:r w:rsidR="0034498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34498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Para este fin, se trabajó</w:t>
      </w:r>
      <w:r w:rsidRPr="00344981">
        <w:rPr>
          <w:rFonts w:ascii="Times New Roman" w:eastAsia="Times New Roman" w:hAnsi="Times New Roman" w:cs="Times New Roman"/>
          <w:color w:val="000000" w:themeColor="text1"/>
          <w:sz w:val="24"/>
          <w:szCs w:val="24"/>
        </w:rPr>
        <w:t xml:space="preserve"> </w:t>
      </w:r>
      <w:sdt>
        <w:sdtPr>
          <w:rPr>
            <w:rFonts w:ascii="Times New Roman" w:hAnsi="Times New Roman" w:cs="Times New Roman"/>
            <w:color w:val="000000" w:themeColor="text1"/>
          </w:rPr>
          <w:tag w:val="goog_rdk_1"/>
          <w:id w:val="-1435142054"/>
        </w:sdtPr>
        <w:sdtContent/>
      </w:sdt>
      <w:sdt>
        <w:sdtPr>
          <w:rPr>
            <w:rFonts w:ascii="Times New Roman" w:hAnsi="Times New Roman" w:cs="Times New Roman"/>
            <w:color w:val="000000" w:themeColor="text1"/>
          </w:rPr>
          <w:tag w:val="goog_rdk_2"/>
          <w:id w:val="-2014271224"/>
        </w:sdtPr>
        <w:sdtContent/>
      </w:sdt>
      <w:sdt>
        <w:sdtPr>
          <w:rPr>
            <w:rFonts w:ascii="Times New Roman" w:hAnsi="Times New Roman" w:cs="Times New Roman"/>
            <w:color w:val="000000" w:themeColor="text1"/>
          </w:rPr>
          <w:tag w:val="goog_rdk_3"/>
          <w:id w:val="-1596633411"/>
        </w:sdtPr>
        <w:sdtContent/>
      </w:sdt>
      <w:sdt>
        <w:sdtPr>
          <w:rPr>
            <w:rFonts w:ascii="Times New Roman" w:hAnsi="Times New Roman" w:cs="Times New Roman"/>
            <w:color w:val="000000" w:themeColor="text1"/>
          </w:rPr>
          <w:tag w:val="goog_rdk_4"/>
          <w:id w:val="-649244331"/>
        </w:sdtPr>
        <w:sdtContent/>
      </w:sdt>
      <w:sdt>
        <w:sdtPr>
          <w:rPr>
            <w:rFonts w:ascii="Times New Roman" w:hAnsi="Times New Roman" w:cs="Times New Roman"/>
            <w:color w:val="000000" w:themeColor="text1"/>
          </w:rPr>
          <w:tag w:val="goog_rdk_5"/>
          <w:id w:val="1489131372"/>
        </w:sdtPr>
        <w:sdtContent/>
      </w:sdt>
      <w:r w:rsidRPr="00344981">
        <w:rPr>
          <w:rFonts w:ascii="Times New Roman" w:eastAsia="Times New Roman" w:hAnsi="Times New Roman" w:cs="Times New Roman"/>
          <w:color w:val="000000" w:themeColor="text1"/>
          <w:sz w:val="24"/>
          <w:szCs w:val="24"/>
        </w:rPr>
        <w:t>con una base de siniestros acumulados de Responsabilidad Civil Automotor desde 2018, hasta 2024, publicado por la Superintendencia de Seguros de la Nación</w:t>
      </w:r>
      <w:r w:rsidR="00344981">
        <w:rPr>
          <w:rFonts w:ascii="Times New Roman" w:eastAsia="Times New Roman" w:hAnsi="Times New Roman" w:cs="Times New Roman"/>
          <w:color w:val="000000" w:themeColor="text1"/>
          <w:sz w:val="24"/>
          <w:szCs w:val="24"/>
        </w:rPr>
        <w:t xml:space="preserve"> [SSN]</w:t>
      </w:r>
      <w:r w:rsidRPr="00344981">
        <w:rPr>
          <w:rFonts w:ascii="Times New Roman" w:eastAsia="Times New Roman" w:hAnsi="Times New Roman" w:cs="Times New Roman"/>
          <w:color w:val="000000" w:themeColor="text1"/>
          <w:sz w:val="24"/>
          <w:szCs w:val="24"/>
        </w:rPr>
        <w:t>.</w:t>
      </w:r>
      <w:r w:rsidR="00344981">
        <w:rPr>
          <w:rFonts w:ascii="Times New Roman" w:eastAsia="Times New Roman" w:hAnsi="Times New Roman" w:cs="Times New Roman"/>
          <w:sz w:val="24"/>
          <w:szCs w:val="24"/>
        </w:rPr>
        <w:t xml:space="preserve"> Sobre la cual, </w:t>
      </w:r>
      <w:r w:rsidRPr="00EA4C1F">
        <w:rPr>
          <w:rFonts w:ascii="Times New Roman" w:eastAsia="Times New Roman" w:hAnsi="Times New Roman" w:cs="Times New Roman"/>
          <w:sz w:val="24"/>
          <w:szCs w:val="24"/>
        </w:rPr>
        <w:t xml:space="preserve">se llevó a cabo </w:t>
      </w:r>
      <w:r w:rsidR="00344981">
        <w:rPr>
          <w:rFonts w:ascii="Times New Roman" w:eastAsia="Times New Roman" w:hAnsi="Times New Roman" w:cs="Times New Roman"/>
          <w:sz w:val="24"/>
          <w:szCs w:val="24"/>
        </w:rPr>
        <w:t>una</w:t>
      </w:r>
      <w:r w:rsidRPr="00EA4C1F">
        <w:rPr>
          <w:rFonts w:ascii="Times New Roman" w:eastAsia="Times New Roman" w:hAnsi="Times New Roman" w:cs="Times New Roman"/>
          <w:sz w:val="24"/>
          <w:szCs w:val="24"/>
        </w:rPr>
        <w:t xml:space="preserve"> comparación de distintas medidas de</w:t>
      </w:r>
      <w:r w:rsidR="00344981">
        <w:rPr>
          <w:rFonts w:ascii="Times New Roman" w:eastAsia="Times New Roman" w:hAnsi="Times New Roman" w:cs="Times New Roman"/>
          <w:sz w:val="24"/>
          <w:szCs w:val="24"/>
        </w:rPr>
        <w:t>l</w:t>
      </w:r>
      <w:r w:rsidRPr="00EA4C1F">
        <w:rPr>
          <w:rFonts w:ascii="Times New Roman" w:eastAsia="Times New Roman" w:hAnsi="Times New Roman" w:cs="Times New Roman"/>
          <w:sz w:val="24"/>
          <w:szCs w:val="24"/>
        </w:rPr>
        <w:t xml:space="preserve"> riesgo </w:t>
      </w:r>
      <w:r w:rsidR="00344981">
        <w:rPr>
          <w:rFonts w:ascii="Times New Roman" w:eastAsia="Times New Roman" w:hAnsi="Times New Roman" w:cs="Times New Roman"/>
          <w:sz w:val="24"/>
          <w:szCs w:val="24"/>
        </w:rPr>
        <w:t xml:space="preserve">de siniestro, </w:t>
      </w:r>
      <w:r w:rsidRPr="00EA4C1F">
        <w:rPr>
          <w:rFonts w:ascii="Times New Roman" w:eastAsia="Times New Roman" w:hAnsi="Times New Roman" w:cs="Times New Roman"/>
          <w:sz w:val="24"/>
          <w:szCs w:val="24"/>
        </w:rPr>
        <w:t>resultantes tanto del cálculo de las reservas por IBNR como su representación en el patrimonio de una empresa aseguradora.</w:t>
      </w:r>
    </w:p>
    <w:p w14:paraId="00000013"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inicio del trabajo de investigación, se desarrolla un “Marco Teórico”, en el cual se describe el contexto estadístico y normativo dentro del cual se desarrolla este estudio, su importancia y su relación con el Mercado Asegurador Argentino. </w:t>
      </w:r>
    </w:p>
    <w:p w14:paraId="00000014"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Los modelos y supuestos considerados se encuentran en el “Marco Metodológico”, donde se detallan las técnicas empleadas para el cálculo del IBNR bajo ambos marcos normativos. Se incluyen los métodos determinísticos</w:t>
      </w:r>
      <w:sdt>
        <w:sdtPr>
          <w:rPr>
            <w:rFonts w:ascii="Times New Roman" w:hAnsi="Times New Roman" w:cs="Times New Roman"/>
          </w:rPr>
          <w:tag w:val="goog_rdk_6"/>
          <w:id w:val="194350367"/>
        </w:sdtPr>
        <w:sdtContent/>
      </w:sdt>
      <w:r w:rsidRPr="00EA4C1F">
        <w:rPr>
          <w:rFonts w:ascii="Times New Roman" w:eastAsia="Times New Roman" w:hAnsi="Times New Roman" w:cs="Times New Roman"/>
          <w:sz w:val="24"/>
          <w:szCs w:val="24"/>
        </w:rPr>
        <w:t>, junto con modelos estocásticos consistentes con los lineamientos de las IFRS 17. Además, se expone el procedimiento de ajuste de los datos por inflación utilizando el índice FACPCE, con el fin de expresar todos los valores en términos reales.</w:t>
      </w:r>
    </w:p>
    <w:p w14:paraId="00000015"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p w14:paraId="00000016"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p w14:paraId="00000029" w14:textId="77777777" w:rsidR="00E6009A" w:rsidRPr="00EA4C1F" w:rsidRDefault="00000000" w:rsidP="00EA4C1F">
      <w:pPr>
        <w:keepNext/>
        <w:keepLines/>
        <w:pBdr>
          <w:top w:val="nil"/>
          <w:left w:val="nil"/>
          <w:bottom w:val="nil"/>
          <w:right w:val="nil"/>
          <w:between w:val="nil"/>
        </w:pBdr>
        <w:spacing w:after="0" w:line="480" w:lineRule="auto"/>
        <w:jc w:val="both"/>
        <w:rPr>
          <w:rFonts w:ascii="Times New Roman" w:eastAsia="Times New Roman" w:hAnsi="Times New Roman" w:cs="Times New Roman"/>
          <w:color w:val="0F4761"/>
          <w:sz w:val="32"/>
          <w:szCs w:val="32"/>
        </w:rPr>
      </w:pPr>
      <w:proofErr w:type="spellStart"/>
      <w:r w:rsidRPr="00EA4C1F">
        <w:rPr>
          <w:rFonts w:ascii="Times New Roman" w:eastAsia="Times New Roman" w:hAnsi="Times New Roman" w:cs="Times New Roman"/>
          <w:color w:val="0F4761"/>
          <w:sz w:val="32"/>
          <w:szCs w:val="32"/>
        </w:rPr>
        <w:lastRenderedPageBreak/>
        <w:t>Contents</w:t>
      </w:r>
      <w:proofErr w:type="spellEnd"/>
    </w:p>
    <w:sdt>
      <w:sdtPr>
        <w:rPr>
          <w:rFonts w:ascii="Aptos" w:eastAsia="Aptos" w:hAnsi="Aptos" w:cs="Aptos"/>
          <w:b w:val="0"/>
          <w:bCs w:val="0"/>
          <w:lang w:val="es-AR"/>
        </w:rPr>
        <w:id w:val="1972037841"/>
        <w:docPartObj>
          <w:docPartGallery w:val="Table of Contents"/>
          <w:docPartUnique/>
        </w:docPartObj>
      </w:sdtPr>
      <w:sdtContent>
        <w:p w14:paraId="37E81A60" w14:textId="3A53AA0B" w:rsidR="00F778F2" w:rsidRDefault="00000000">
          <w:pPr>
            <w:pStyle w:val="TOC1"/>
            <w:tabs>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r w:rsidRPr="00EA4C1F">
            <w:fldChar w:fldCharType="begin"/>
          </w:r>
          <w:r w:rsidRPr="00EA4C1F">
            <w:instrText xml:space="preserve"> TOC \h \u \z \t "Heading 1,1,Heading 2,2,Heading 3,3,Heading 4,4,Heading 5,5,Heading 6,6,"</w:instrText>
          </w:r>
          <w:r w:rsidRPr="00EA4C1F">
            <w:fldChar w:fldCharType="separate"/>
          </w:r>
          <w:hyperlink w:anchor="_Toc221446722" w:history="1">
            <w:r w:rsidR="00F778F2" w:rsidRPr="000F45EB">
              <w:rPr>
                <w:rStyle w:val="Hyperlink"/>
                <w:rFonts w:eastAsiaTheme="majorEastAsia"/>
                <w:noProof/>
              </w:rPr>
              <w:t>Resumen</w:t>
            </w:r>
            <w:r w:rsidR="00F778F2">
              <w:rPr>
                <w:noProof/>
                <w:webHidden/>
              </w:rPr>
              <w:tab/>
            </w:r>
            <w:r w:rsidR="00F778F2">
              <w:rPr>
                <w:noProof/>
                <w:webHidden/>
              </w:rPr>
              <w:fldChar w:fldCharType="begin"/>
            </w:r>
            <w:r w:rsidR="00F778F2">
              <w:rPr>
                <w:noProof/>
                <w:webHidden/>
              </w:rPr>
              <w:instrText xml:space="preserve"> PAGEREF _Toc221446722 \h </w:instrText>
            </w:r>
            <w:r w:rsidR="00F778F2">
              <w:rPr>
                <w:noProof/>
                <w:webHidden/>
              </w:rPr>
            </w:r>
            <w:r w:rsidR="00F778F2">
              <w:rPr>
                <w:noProof/>
                <w:webHidden/>
              </w:rPr>
              <w:fldChar w:fldCharType="separate"/>
            </w:r>
            <w:r w:rsidR="00F778F2">
              <w:rPr>
                <w:noProof/>
                <w:webHidden/>
              </w:rPr>
              <w:t>2</w:t>
            </w:r>
            <w:r w:rsidR="00F778F2">
              <w:rPr>
                <w:noProof/>
                <w:webHidden/>
              </w:rPr>
              <w:fldChar w:fldCharType="end"/>
            </w:r>
          </w:hyperlink>
        </w:p>
        <w:p w14:paraId="5E48A233" w14:textId="7D29F8A7"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23" w:history="1">
            <w:r w:rsidRPr="000F45EB">
              <w:rPr>
                <w:rStyle w:val="Hyperlink"/>
                <w:rFonts w:eastAsiaTheme="majorEastAsia"/>
                <w:noProof/>
              </w:rPr>
              <w:t>1.</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Glosario</w:t>
            </w:r>
            <w:r>
              <w:rPr>
                <w:noProof/>
                <w:webHidden/>
              </w:rPr>
              <w:tab/>
            </w:r>
            <w:r>
              <w:rPr>
                <w:noProof/>
                <w:webHidden/>
              </w:rPr>
              <w:fldChar w:fldCharType="begin"/>
            </w:r>
            <w:r>
              <w:rPr>
                <w:noProof/>
                <w:webHidden/>
              </w:rPr>
              <w:instrText xml:space="preserve"> PAGEREF _Toc221446723 \h </w:instrText>
            </w:r>
            <w:r>
              <w:rPr>
                <w:noProof/>
                <w:webHidden/>
              </w:rPr>
            </w:r>
            <w:r>
              <w:rPr>
                <w:noProof/>
                <w:webHidden/>
              </w:rPr>
              <w:fldChar w:fldCharType="separate"/>
            </w:r>
            <w:r>
              <w:rPr>
                <w:noProof/>
                <w:webHidden/>
              </w:rPr>
              <w:t>4</w:t>
            </w:r>
            <w:r>
              <w:rPr>
                <w:noProof/>
                <w:webHidden/>
              </w:rPr>
              <w:fldChar w:fldCharType="end"/>
            </w:r>
          </w:hyperlink>
        </w:p>
        <w:p w14:paraId="238369C0" w14:textId="644D8105"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24" w:history="1">
            <w:r w:rsidRPr="000F45EB">
              <w:rPr>
                <w:rStyle w:val="Hyperlink"/>
                <w:rFonts w:eastAsiaTheme="majorEastAsia"/>
                <w:noProof/>
              </w:rPr>
              <w:t>2.</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Introducción</w:t>
            </w:r>
            <w:r>
              <w:rPr>
                <w:noProof/>
                <w:webHidden/>
              </w:rPr>
              <w:tab/>
            </w:r>
            <w:r>
              <w:rPr>
                <w:noProof/>
                <w:webHidden/>
              </w:rPr>
              <w:fldChar w:fldCharType="begin"/>
            </w:r>
            <w:r>
              <w:rPr>
                <w:noProof/>
                <w:webHidden/>
              </w:rPr>
              <w:instrText xml:space="preserve"> PAGEREF _Toc221446724 \h </w:instrText>
            </w:r>
            <w:r>
              <w:rPr>
                <w:noProof/>
                <w:webHidden/>
              </w:rPr>
            </w:r>
            <w:r>
              <w:rPr>
                <w:noProof/>
                <w:webHidden/>
              </w:rPr>
              <w:fldChar w:fldCharType="separate"/>
            </w:r>
            <w:r>
              <w:rPr>
                <w:noProof/>
                <w:webHidden/>
              </w:rPr>
              <w:t>4</w:t>
            </w:r>
            <w:r>
              <w:rPr>
                <w:noProof/>
                <w:webHidden/>
              </w:rPr>
              <w:fldChar w:fldCharType="end"/>
            </w:r>
          </w:hyperlink>
        </w:p>
        <w:p w14:paraId="037CC1D2" w14:textId="2DA72866"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25" w:history="1">
            <w:r w:rsidRPr="000F45EB">
              <w:rPr>
                <w:rStyle w:val="Hyperlink"/>
                <w:rFonts w:eastAsiaTheme="majorEastAsia"/>
                <w:noProof/>
              </w:rPr>
              <w:t>3.</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Objetivo</w:t>
            </w:r>
            <w:r>
              <w:rPr>
                <w:noProof/>
                <w:webHidden/>
              </w:rPr>
              <w:tab/>
            </w:r>
            <w:r>
              <w:rPr>
                <w:noProof/>
                <w:webHidden/>
              </w:rPr>
              <w:fldChar w:fldCharType="begin"/>
            </w:r>
            <w:r>
              <w:rPr>
                <w:noProof/>
                <w:webHidden/>
              </w:rPr>
              <w:instrText xml:space="preserve"> PAGEREF _Toc221446725 \h </w:instrText>
            </w:r>
            <w:r>
              <w:rPr>
                <w:noProof/>
                <w:webHidden/>
              </w:rPr>
            </w:r>
            <w:r>
              <w:rPr>
                <w:noProof/>
                <w:webHidden/>
              </w:rPr>
              <w:fldChar w:fldCharType="separate"/>
            </w:r>
            <w:r>
              <w:rPr>
                <w:noProof/>
                <w:webHidden/>
              </w:rPr>
              <w:t>6</w:t>
            </w:r>
            <w:r>
              <w:rPr>
                <w:noProof/>
                <w:webHidden/>
              </w:rPr>
              <w:fldChar w:fldCharType="end"/>
            </w:r>
          </w:hyperlink>
        </w:p>
        <w:p w14:paraId="64244B4F" w14:textId="3AEEFCB7"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26" w:history="1">
            <w:r w:rsidRPr="000F45EB">
              <w:rPr>
                <w:rStyle w:val="Hyperlink"/>
                <w:rFonts w:eastAsiaTheme="majorEastAsia"/>
                <w:noProof/>
              </w:rPr>
              <w:t>4.</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Hipótesis</w:t>
            </w:r>
            <w:r>
              <w:rPr>
                <w:noProof/>
                <w:webHidden/>
              </w:rPr>
              <w:tab/>
            </w:r>
            <w:r>
              <w:rPr>
                <w:noProof/>
                <w:webHidden/>
              </w:rPr>
              <w:fldChar w:fldCharType="begin"/>
            </w:r>
            <w:r>
              <w:rPr>
                <w:noProof/>
                <w:webHidden/>
              </w:rPr>
              <w:instrText xml:space="preserve"> PAGEREF _Toc221446726 \h </w:instrText>
            </w:r>
            <w:r>
              <w:rPr>
                <w:noProof/>
                <w:webHidden/>
              </w:rPr>
            </w:r>
            <w:r>
              <w:rPr>
                <w:noProof/>
                <w:webHidden/>
              </w:rPr>
              <w:fldChar w:fldCharType="separate"/>
            </w:r>
            <w:r>
              <w:rPr>
                <w:noProof/>
                <w:webHidden/>
              </w:rPr>
              <w:t>6</w:t>
            </w:r>
            <w:r>
              <w:rPr>
                <w:noProof/>
                <w:webHidden/>
              </w:rPr>
              <w:fldChar w:fldCharType="end"/>
            </w:r>
          </w:hyperlink>
        </w:p>
        <w:p w14:paraId="5F6A147A" w14:textId="2E134250"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27" w:history="1">
            <w:r w:rsidRPr="000F45EB">
              <w:rPr>
                <w:rStyle w:val="Hyperlink"/>
                <w:rFonts w:eastAsiaTheme="majorEastAsia"/>
                <w:noProof/>
              </w:rPr>
              <w:t>5.</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Marco Teórico</w:t>
            </w:r>
            <w:r>
              <w:rPr>
                <w:noProof/>
                <w:webHidden/>
              </w:rPr>
              <w:tab/>
            </w:r>
            <w:r>
              <w:rPr>
                <w:noProof/>
                <w:webHidden/>
              </w:rPr>
              <w:fldChar w:fldCharType="begin"/>
            </w:r>
            <w:r>
              <w:rPr>
                <w:noProof/>
                <w:webHidden/>
              </w:rPr>
              <w:instrText xml:space="preserve"> PAGEREF _Toc221446727 \h </w:instrText>
            </w:r>
            <w:r>
              <w:rPr>
                <w:noProof/>
                <w:webHidden/>
              </w:rPr>
            </w:r>
            <w:r>
              <w:rPr>
                <w:noProof/>
                <w:webHidden/>
              </w:rPr>
              <w:fldChar w:fldCharType="separate"/>
            </w:r>
            <w:r>
              <w:rPr>
                <w:noProof/>
                <w:webHidden/>
              </w:rPr>
              <w:t>6</w:t>
            </w:r>
            <w:r>
              <w:rPr>
                <w:noProof/>
                <w:webHidden/>
              </w:rPr>
              <w:fldChar w:fldCharType="end"/>
            </w:r>
          </w:hyperlink>
        </w:p>
        <w:p w14:paraId="03A0730D" w14:textId="43C11763"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28" w:history="1">
            <w:r w:rsidRPr="000F45EB">
              <w:rPr>
                <w:rStyle w:val="Hyperlink"/>
                <w:rFonts w:eastAsiaTheme="majorEastAsia"/>
                <w:noProof/>
              </w:rPr>
              <w:t>5.1.</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Definición de seguro</w:t>
            </w:r>
            <w:r>
              <w:rPr>
                <w:noProof/>
                <w:webHidden/>
              </w:rPr>
              <w:tab/>
            </w:r>
            <w:r>
              <w:rPr>
                <w:noProof/>
                <w:webHidden/>
              </w:rPr>
              <w:fldChar w:fldCharType="begin"/>
            </w:r>
            <w:r>
              <w:rPr>
                <w:noProof/>
                <w:webHidden/>
              </w:rPr>
              <w:instrText xml:space="preserve"> PAGEREF _Toc221446728 \h </w:instrText>
            </w:r>
            <w:r>
              <w:rPr>
                <w:noProof/>
                <w:webHidden/>
              </w:rPr>
            </w:r>
            <w:r>
              <w:rPr>
                <w:noProof/>
                <w:webHidden/>
              </w:rPr>
              <w:fldChar w:fldCharType="separate"/>
            </w:r>
            <w:r>
              <w:rPr>
                <w:noProof/>
                <w:webHidden/>
              </w:rPr>
              <w:t>6</w:t>
            </w:r>
            <w:r>
              <w:rPr>
                <w:noProof/>
                <w:webHidden/>
              </w:rPr>
              <w:fldChar w:fldCharType="end"/>
            </w:r>
          </w:hyperlink>
        </w:p>
        <w:p w14:paraId="3D6A6E53" w14:textId="786022CD"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29" w:history="1">
            <w:r w:rsidRPr="000F45EB">
              <w:rPr>
                <w:rStyle w:val="Hyperlink"/>
                <w:noProof/>
              </w:rPr>
              <w:t>5.2.</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Reservas técnicas</w:t>
            </w:r>
            <w:r>
              <w:rPr>
                <w:noProof/>
                <w:webHidden/>
              </w:rPr>
              <w:tab/>
            </w:r>
            <w:r>
              <w:rPr>
                <w:noProof/>
                <w:webHidden/>
              </w:rPr>
              <w:fldChar w:fldCharType="begin"/>
            </w:r>
            <w:r>
              <w:rPr>
                <w:noProof/>
                <w:webHidden/>
              </w:rPr>
              <w:instrText xml:space="preserve"> PAGEREF _Toc221446729 \h </w:instrText>
            </w:r>
            <w:r>
              <w:rPr>
                <w:noProof/>
                <w:webHidden/>
              </w:rPr>
            </w:r>
            <w:r>
              <w:rPr>
                <w:noProof/>
                <w:webHidden/>
              </w:rPr>
              <w:fldChar w:fldCharType="separate"/>
            </w:r>
            <w:r>
              <w:rPr>
                <w:noProof/>
                <w:webHidden/>
              </w:rPr>
              <w:t>8</w:t>
            </w:r>
            <w:r>
              <w:rPr>
                <w:noProof/>
                <w:webHidden/>
              </w:rPr>
              <w:fldChar w:fldCharType="end"/>
            </w:r>
          </w:hyperlink>
        </w:p>
        <w:p w14:paraId="37172D43" w14:textId="4F2FE826"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30" w:history="1">
            <w:r w:rsidRPr="000F45EB">
              <w:rPr>
                <w:rStyle w:val="Hyperlink"/>
                <w:noProof/>
              </w:rPr>
              <w:t>5.3.</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Situación Actual del Mercado Asegurador</w:t>
            </w:r>
            <w:r>
              <w:rPr>
                <w:noProof/>
                <w:webHidden/>
              </w:rPr>
              <w:tab/>
            </w:r>
            <w:r>
              <w:rPr>
                <w:noProof/>
                <w:webHidden/>
              </w:rPr>
              <w:fldChar w:fldCharType="begin"/>
            </w:r>
            <w:r>
              <w:rPr>
                <w:noProof/>
                <w:webHidden/>
              </w:rPr>
              <w:instrText xml:space="preserve"> PAGEREF _Toc221446730 \h </w:instrText>
            </w:r>
            <w:r>
              <w:rPr>
                <w:noProof/>
                <w:webHidden/>
              </w:rPr>
            </w:r>
            <w:r>
              <w:rPr>
                <w:noProof/>
                <w:webHidden/>
              </w:rPr>
              <w:fldChar w:fldCharType="separate"/>
            </w:r>
            <w:r>
              <w:rPr>
                <w:noProof/>
                <w:webHidden/>
              </w:rPr>
              <w:t>9</w:t>
            </w:r>
            <w:r>
              <w:rPr>
                <w:noProof/>
                <w:webHidden/>
              </w:rPr>
              <w:fldChar w:fldCharType="end"/>
            </w:r>
          </w:hyperlink>
        </w:p>
        <w:p w14:paraId="0F302548" w14:textId="5699B965"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31" w:history="1">
            <w:r w:rsidRPr="000F45EB">
              <w:rPr>
                <w:rStyle w:val="Hyperlink"/>
                <w:noProof/>
              </w:rPr>
              <w:t>5.4.</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Antecedentes de normativas locales</w:t>
            </w:r>
            <w:r>
              <w:rPr>
                <w:noProof/>
                <w:webHidden/>
              </w:rPr>
              <w:tab/>
            </w:r>
            <w:r>
              <w:rPr>
                <w:noProof/>
                <w:webHidden/>
              </w:rPr>
              <w:fldChar w:fldCharType="begin"/>
            </w:r>
            <w:r>
              <w:rPr>
                <w:noProof/>
                <w:webHidden/>
              </w:rPr>
              <w:instrText xml:space="preserve"> PAGEREF _Toc221446731 \h </w:instrText>
            </w:r>
            <w:r>
              <w:rPr>
                <w:noProof/>
                <w:webHidden/>
              </w:rPr>
            </w:r>
            <w:r>
              <w:rPr>
                <w:noProof/>
                <w:webHidden/>
              </w:rPr>
              <w:fldChar w:fldCharType="separate"/>
            </w:r>
            <w:r>
              <w:rPr>
                <w:noProof/>
                <w:webHidden/>
              </w:rPr>
              <w:t>11</w:t>
            </w:r>
            <w:r>
              <w:rPr>
                <w:noProof/>
                <w:webHidden/>
              </w:rPr>
              <w:fldChar w:fldCharType="end"/>
            </w:r>
          </w:hyperlink>
        </w:p>
        <w:p w14:paraId="4512E8A3" w14:textId="1F3A3D3C"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32" w:history="1">
            <w:r w:rsidRPr="000F45EB">
              <w:rPr>
                <w:rStyle w:val="Hyperlink"/>
                <w:rFonts w:ascii="Times New Roman" w:eastAsia="Times New Roman" w:hAnsi="Times New Roman" w:cs="Times New Roman"/>
                <w:noProof/>
              </w:rPr>
              <w:t>5.4.1.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Resolución 287/2025</w:t>
            </w:r>
            <w:r>
              <w:rPr>
                <w:noProof/>
                <w:webHidden/>
              </w:rPr>
              <w:tab/>
            </w:r>
            <w:r>
              <w:rPr>
                <w:noProof/>
                <w:webHidden/>
              </w:rPr>
              <w:fldChar w:fldCharType="begin"/>
            </w:r>
            <w:r>
              <w:rPr>
                <w:noProof/>
                <w:webHidden/>
              </w:rPr>
              <w:instrText xml:space="preserve"> PAGEREF _Toc221446732 \h </w:instrText>
            </w:r>
            <w:r>
              <w:rPr>
                <w:noProof/>
                <w:webHidden/>
              </w:rPr>
            </w:r>
            <w:r>
              <w:rPr>
                <w:noProof/>
                <w:webHidden/>
              </w:rPr>
              <w:fldChar w:fldCharType="separate"/>
            </w:r>
            <w:r>
              <w:rPr>
                <w:noProof/>
                <w:webHidden/>
              </w:rPr>
              <w:t>11</w:t>
            </w:r>
            <w:r>
              <w:rPr>
                <w:noProof/>
                <w:webHidden/>
              </w:rPr>
              <w:fldChar w:fldCharType="end"/>
            </w:r>
          </w:hyperlink>
        </w:p>
        <w:p w14:paraId="017398E0" w14:textId="349957B8"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33" w:history="1">
            <w:r w:rsidRPr="000F45EB">
              <w:rPr>
                <w:rStyle w:val="Hyperlink"/>
                <w:noProof/>
              </w:rPr>
              <w:t>5.5.</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Antecedentes de normativas internacionales</w:t>
            </w:r>
            <w:r>
              <w:rPr>
                <w:noProof/>
                <w:webHidden/>
              </w:rPr>
              <w:tab/>
            </w:r>
            <w:r>
              <w:rPr>
                <w:noProof/>
                <w:webHidden/>
              </w:rPr>
              <w:fldChar w:fldCharType="begin"/>
            </w:r>
            <w:r>
              <w:rPr>
                <w:noProof/>
                <w:webHidden/>
              </w:rPr>
              <w:instrText xml:space="preserve"> PAGEREF _Toc221446733 \h </w:instrText>
            </w:r>
            <w:r>
              <w:rPr>
                <w:noProof/>
                <w:webHidden/>
              </w:rPr>
            </w:r>
            <w:r>
              <w:rPr>
                <w:noProof/>
                <w:webHidden/>
              </w:rPr>
              <w:fldChar w:fldCharType="separate"/>
            </w:r>
            <w:r>
              <w:rPr>
                <w:noProof/>
                <w:webHidden/>
              </w:rPr>
              <w:t>12</w:t>
            </w:r>
            <w:r>
              <w:rPr>
                <w:noProof/>
                <w:webHidden/>
              </w:rPr>
              <w:fldChar w:fldCharType="end"/>
            </w:r>
          </w:hyperlink>
        </w:p>
        <w:p w14:paraId="4ABC6CD1" w14:textId="61456FDA"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34" w:history="1">
            <w:r w:rsidRPr="000F45EB">
              <w:rPr>
                <w:rStyle w:val="Hyperlink"/>
                <w:rFonts w:ascii="Times New Roman" w:eastAsia="Times New Roman" w:hAnsi="Times New Roman" w:cs="Times New Roman"/>
                <w:noProof/>
              </w:rPr>
              <w:t>5.5.1.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IFRS 17</w:t>
            </w:r>
            <w:r>
              <w:rPr>
                <w:noProof/>
                <w:webHidden/>
              </w:rPr>
              <w:tab/>
            </w:r>
            <w:r>
              <w:rPr>
                <w:noProof/>
                <w:webHidden/>
              </w:rPr>
              <w:fldChar w:fldCharType="begin"/>
            </w:r>
            <w:r>
              <w:rPr>
                <w:noProof/>
                <w:webHidden/>
              </w:rPr>
              <w:instrText xml:space="preserve"> PAGEREF _Toc221446734 \h </w:instrText>
            </w:r>
            <w:r>
              <w:rPr>
                <w:noProof/>
                <w:webHidden/>
              </w:rPr>
            </w:r>
            <w:r>
              <w:rPr>
                <w:noProof/>
                <w:webHidden/>
              </w:rPr>
              <w:fldChar w:fldCharType="separate"/>
            </w:r>
            <w:r>
              <w:rPr>
                <w:noProof/>
                <w:webHidden/>
              </w:rPr>
              <w:t>12</w:t>
            </w:r>
            <w:r>
              <w:rPr>
                <w:noProof/>
                <w:webHidden/>
              </w:rPr>
              <w:fldChar w:fldCharType="end"/>
            </w:r>
          </w:hyperlink>
        </w:p>
        <w:p w14:paraId="39A7648B" w14:textId="314811DF"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35" w:history="1">
            <w:r w:rsidRPr="000F45EB">
              <w:rPr>
                <w:rStyle w:val="Hyperlink"/>
                <w:rFonts w:eastAsiaTheme="majorEastAsia"/>
                <w:noProof/>
              </w:rPr>
              <w:t>6.</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Marco Metodológico</w:t>
            </w:r>
            <w:r>
              <w:rPr>
                <w:noProof/>
                <w:webHidden/>
              </w:rPr>
              <w:tab/>
            </w:r>
            <w:r>
              <w:rPr>
                <w:noProof/>
                <w:webHidden/>
              </w:rPr>
              <w:fldChar w:fldCharType="begin"/>
            </w:r>
            <w:r>
              <w:rPr>
                <w:noProof/>
                <w:webHidden/>
              </w:rPr>
              <w:instrText xml:space="preserve"> PAGEREF _Toc221446735 \h </w:instrText>
            </w:r>
            <w:r>
              <w:rPr>
                <w:noProof/>
                <w:webHidden/>
              </w:rPr>
            </w:r>
            <w:r>
              <w:rPr>
                <w:noProof/>
                <w:webHidden/>
              </w:rPr>
              <w:fldChar w:fldCharType="separate"/>
            </w:r>
            <w:r>
              <w:rPr>
                <w:noProof/>
                <w:webHidden/>
              </w:rPr>
              <w:t>15</w:t>
            </w:r>
            <w:r>
              <w:rPr>
                <w:noProof/>
                <w:webHidden/>
              </w:rPr>
              <w:fldChar w:fldCharType="end"/>
            </w:r>
          </w:hyperlink>
        </w:p>
        <w:p w14:paraId="65C90CE6" w14:textId="6D1CD68A"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36" w:history="1">
            <w:r w:rsidRPr="000F45EB">
              <w:rPr>
                <w:rStyle w:val="Hyperlink"/>
                <w:rFonts w:eastAsiaTheme="majorEastAsia"/>
                <w:noProof/>
              </w:rPr>
              <w:t>6.1.</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Base de Datos</w:t>
            </w:r>
            <w:r>
              <w:rPr>
                <w:noProof/>
                <w:webHidden/>
              </w:rPr>
              <w:tab/>
            </w:r>
            <w:r>
              <w:rPr>
                <w:noProof/>
                <w:webHidden/>
              </w:rPr>
              <w:fldChar w:fldCharType="begin"/>
            </w:r>
            <w:r>
              <w:rPr>
                <w:noProof/>
                <w:webHidden/>
              </w:rPr>
              <w:instrText xml:space="preserve"> PAGEREF _Toc221446736 \h </w:instrText>
            </w:r>
            <w:r>
              <w:rPr>
                <w:noProof/>
                <w:webHidden/>
              </w:rPr>
            </w:r>
            <w:r>
              <w:rPr>
                <w:noProof/>
                <w:webHidden/>
              </w:rPr>
              <w:fldChar w:fldCharType="separate"/>
            </w:r>
            <w:r>
              <w:rPr>
                <w:noProof/>
                <w:webHidden/>
              </w:rPr>
              <w:t>15</w:t>
            </w:r>
            <w:r>
              <w:rPr>
                <w:noProof/>
                <w:webHidden/>
              </w:rPr>
              <w:fldChar w:fldCharType="end"/>
            </w:r>
          </w:hyperlink>
        </w:p>
        <w:p w14:paraId="6D00BCAD" w14:textId="13031111" w:rsidR="00F778F2" w:rsidRDefault="00F778F2">
          <w:pPr>
            <w:pStyle w:val="TOC1"/>
            <w:tabs>
              <w:tab w:val="left" w:pos="2751"/>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37" w:history="1">
            <w:r w:rsidRPr="000F45EB">
              <w:rPr>
                <w:rStyle w:val="Hyperlink"/>
                <w:rFonts w:eastAsiaTheme="majorEastAsia"/>
                <w:noProof/>
              </w:rPr>
              <w:t>6.1.1.</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Base de Siniestros</w:t>
            </w:r>
            <w:r>
              <w:rPr>
                <w:noProof/>
                <w:webHidden/>
              </w:rPr>
              <w:tab/>
            </w:r>
            <w:r>
              <w:rPr>
                <w:noProof/>
                <w:webHidden/>
              </w:rPr>
              <w:fldChar w:fldCharType="begin"/>
            </w:r>
            <w:r>
              <w:rPr>
                <w:noProof/>
                <w:webHidden/>
              </w:rPr>
              <w:instrText xml:space="preserve"> PAGEREF _Toc221446737 \h </w:instrText>
            </w:r>
            <w:r>
              <w:rPr>
                <w:noProof/>
                <w:webHidden/>
              </w:rPr>
            </w:r>
            <w:r>
              <w:rPr>
                <w:noProof/>
                <w:webHidden/>
              </w:rPr>
              <w:fldChar w:fldCharType="separate"/>
            </w:r>
            <w:r>
              <w:rPr>
                <w:noProof/>
                <w:webHidden/>
              </w:rPr>
              <w:t>15</w:t>
            </w:r>
            <w:r>
              <w:rPr>
                <w:noProof/>
                <w:webHidden/>
              </w:rPr>
              <w:fldChar w:fldCharType="end"/>
            </w:r>
          </w:hyperlink>
        </w:p>
        <w:p w14:paraId="505332FB" w14:textId="11E840E3"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38" w:history="1">
            <w:r w:rsidRPr="000F45EB">
              <w:rPr>
                <w:rStyle w:val="Hyperlink"/>
                <w:rFonts w:ascii="Times New Roman" w:hAnsi="Times New Roman" w:cs="Times New Roman"/>
                <w:noProof/>
              </w:rPr>
              <w:t>6.1.2.</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Segmentaciones y supuestos sobre la base de datos</w:t>
            </w:r>
            <w:r>
              <w:rPr>
                <w:noProof/>
                <w:webHidden/>
              </w:rPr>
              <w:tab/>
            </w:r>
            <w:r>
              <w:rPr>
                <w:noProof/>
                <w:webHidden/>
              </w:rPr>
              <w:fldChar w:fldCharType="begin"/>
            </w:r>
            <w:r>
              <w:rPr>
                <w:noProof/>
                <w:webHidden/>
              </w:rPr>
              <w:instrText xml:space="preserve"> PAGEREF _Toc221446738 \h </w:instrText>
            </w:r>
            <w:r>
              <w:rPr>
                <w:noProof/>
                <w:webHidden/>
              </w:rPr>
            </w:r>
            <w:r>
              <w:rPr>
                <w:noProof/>
                <w:webHidden/>
              </w:rPr>
              <w:fldChar w:fldCharType="separate"/>
            </w:r>
            <w:r>
              <w:rPr>
                <w:noProof/>
                <w:webHidden/>
              </w:rPr>
              <w:t>16</w:t>
            </w:r>
            <w:r>
              <w:rPr>
                <w:noProof/>
                <w:webHidden/>
              </w:rPr>
              <w:fldChar w:fldCharType="end"/>
            </w:r>
          </w:hyperlink>
        </w:p>
        <w:p w14:paraId="22D7A406" w14:textId="33494F11" w:rsidR="00F778F2" w:rsidRDefault="00F778F2">
          <w:pPr>
            <w:pStyle w:val="TOC2"/>
            <w:tabs>
              <w:tab w:val="left" w:pos="2971"/>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39" w:history="1">
            <w:r w:rsidRPr="000F45EB">
              <w:rPr>
                <w:rStyle w:val="Hyperlink"/>
                <w:noProof/>
              </w:rPr>
              <w:t>6.1.3.</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Índice de actualización de Siniestros</w:t>
            </w:r>
            <w:r>
              <w:rPr>
                <w:noProof/>
                <w:webHidden/>
              </w:rPr>
              <w:tab/>
            </w:r>
            <w:r>
              <w:rPr>
                <w:noProof/>
                <w:webHidden/>
              </w:rPr>
              <w:fldChar w:fldCharType="begin"/>
            </w:r>
            <w:r>
              <w:rPr>
                <w:noProof/>
                <w:webHidden/>
              </w:rPr>
              <w:instrText xml:space="preserve"> PAGEREF _Toc221446739 \h </w:instrText>
            </w:r>
            <w:r>
              <w:rPr>
                <w:noProof/>
                <w:webHidden/>
              </w:rPr>
            </w:r>
            <w:r>
              <w:rPr>
                <w:noProof/>
                <w:webHidden/>
              </w:rPr>
              <w:fldChar w:fldCharType="separate"/>
            </w:r>
            <w:r>
              <w:rPr>
                <w:noProof/>
                <w:webHidden/>
              </w:rPr>
              <w:t>16</w:t>
            </w:r>
            <w:r>
              <w:rPr>
                <w:noProof/>
                <w:webHidden/>
              </w:rPr>
              <w:fldChar w:fldCharType="end"/>
            </w:r>
          </w:hyperlink>
        </w:p>
        <w:p w14:paraId="45BC2FAE" w14:textId="0A6425E4"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40" w:history="1">
            <w:r w:rsidRPr="000F45EB">
              <w:rPr>
                <w:rStyle w:val="Hyperlink"/>
                <w:noProof/>
              </w:rPr>
              <w:t>6.2.</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Preprocesamiento de datos</w:t>
            </w:r>
            <w:r>
              <w:rPr>
                <w:noProof/>
                <w:webHidden/>
              </w:rPr>
              <w:tab/>
            </w:r>
            <w:r>
              <w:rPr>
                <w:noProof/>
                <w:webHidden/>
              </w:rPr>
              <w:fldChar w:fldCharType="begin"/>
            </w:r>
            <w:r>
              <w:rPr>
                <w:noProof/>
                <w:webHidden/>
              </w:rPr>
              <w:instrText xml:space="preserve"> PAGEREF _Toc221446740 \h </w:instrText>
            </w:r>
            <w:r>
              <w:rPr>
                <w:noProof/>
                <w:webHidden/>
              </w:rPr>
            </w:r>
            <w:r>
              <w:rPr>
                <w:noProof/>
                <w:webHidden/>
              </w:rPr>
              <w:fldChar w:fldCharType="separate"/>
            </w:r>
            <w:r>
              <w:rPr>
                <w:noProof/>
                <w:webHidden/>
              </w:rPr>
              <w:t>17</w:t>
            </w:r>
            <w:r>
              <w:rPr>
                <w:noProof/>
                <w:webHidden/>
              </w:rPr>
              <w:fldChar w:fldCharType="end"/>
            </w:r>
          </w:hyperlink>
        </w:p>
        <w:p w14:paraId="5F7DF436" w14:textId="25105D79"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41" w:history="1">
            <w:r w:rsidRPr="000F45EB">
              <w:rPr>
                <w:rStyle w:val="Hyperlink"/>
                <w:noProof/>
              </w:rPr>
              <w:t>6.3.</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Metodología RGAA</w:t>
            </w:r>
            <w:r>
              <w:rPr>
                <w:noProof/>
                <w:webHidden/>
              </w:rPr>
              <w:tab/>
            </w:r>
            <w:r>
              <w:rPr>
                <w:noProof/>
                <w:webHidden/>
              </w:rPr>
              <w:fldChar w:fldCharType="begin"/>
            </w:r>
            <w:r>
              <w:rPr>
                <w:noProof/>
                <w:webHidden/>
              </w:rPr>
              <w:instrText xml:space="preserve"> PAGEREF _Toc221446741 \h </w:instrText>
            </w:r>
            <w:r>
              <w:rPr>
                <w:noProof/>
                <w:webHidden/>
              </w:rPr>
            </w:r>
            <w:r>
              <w:rPr>
                <w:noProof/>
                <w:webHidden/>
              </w:rPr>
              <w:fldChar w:fldCharType="separate"/>
            </w:r>
            <w:r>
              <w:rPr>
                <w:noProof/>
                <w:webHidden/>
              </w:rPr>
              <w:t>18</w:t>
            </w:r>
            <w:r>
              <w:rPr>
                <w:noProof/>
                <w:webHidden/>
              </w:rPr>
              <w:fldChar w:fldCharType="end"/>
            </w:r>
          </w:hyperlink>
        </w:p>
        <w:p w14:paraId="7E0E98D3" w14:textId="1CF4BD08"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2" w:history="1">
            <w:r w:rsidRPr="000F45EB">
              <w:rPr>
                <w:rStyle w:val="Hyperlink"/>
                <w:rFonts w:ascii="Times New Roman" w:eastAsia="Times New Roman" w:hAnsi="Times New Roman" w:cs="Times New Roman"/>
                <w:noProof/>
              </w:rPr>
              <w:t>6.3.1.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Actualización y exclusión de siniestros</w:t>
            </w:r>
            <w:r>
              <w:rPr>
                <w:noProof/>
                <w:webHidden/>
              </w:rPr>
              <w:tab/>
            </w:r>
            <w:r>
              <w:rPr>
                <w:noProof/>
                <w:webHidden/>
              </w:rPr>
              <w:fldChar w:fldCharType="begin"/>
            </w:r>
            <w:r>
              <w:rPr>
                <w:noProof/>
                <w:webHidden/>
              </w:rPr>
              <w:instrText xml:space="preserve"> PAGEREF _Toc221446742 \h </w:instrText>
            </w:r>
            <w:r>
              <w:rPr>
                <w:noProof/>
                <w:webHidden/>
              </w:rPr>
            </w:r>
            <w:r>
              <w:rPr>
                <w:noProof/>
                <w:webHidden/>
              </w:rPr>
              <w:fldChar w:fldCharType="separate"/>
            </w:r>
            <w:r>
              <w:rPr>
                <w:noProof/>
                <w:webHidden/>
              </w:rPr>
              <w:t>19</w:t>
            </w:r>
            <w:r>
              <w:rPr>
                <w:noProof/>
                <w:webHidden/>
              </w:rPr>
              <w:fldChar w:fldCharType="end"/>
            </w:r>
          </w:hyperlink>
        </w:p>
        <w:p w14:paraId="1109D55C" w14:textId="6D95F8ED"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3" w:history="1">
            <w:r w:rsidRPr="000F45EB">
              <w:rPr>
                <w:rStyle w:val="Hyperlink"/>
                <w:rFonts w:ascii="Times New Roman" w:eastAsia="Times New Roman" w:hAnsi="Times New Roman" w:cs="Times New Roman"/>
                <w:noProof/>
              </w:rPr>
              <w:t>6.3.2.</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Modelo de Estimación</w:t>
            </w:r>
            <w:r>
              <w:rPr>
                <w:noProof/>
                <w:webHidden/>
              </w:rPr>
              <w:tab/>
            </w:r>
            <w:r>
              <w:rPr>
                <w:noProof/>
                <w:webHidden/>
              </w:rPr>
              <w:fldChar w:fldCharType="begin"/>
            </w:r>
            <w:r>
              <w:rPr>
                <w:noProof/>
                <w:webHidden/>
              </w:rPr>
              <w:instrText xml:space="preserve"> PAGEREF _Toc221446743 \h </w:instrText>
            </w:r>
            <w:r>
              <w:rPr>
                <w:noProof/>
                <w:webHidden/>
              </w:rPr>
            </w:r>
            <w:r>
              <w:rPr>
                <w:noProof/>
                <w:webHidden/>
              </w:rPr>
              <w:fldChar w:fldCharType="separate"/>
            </w:r>
            <w:r>
              <w:rPr>
                <w:noProof/>
                <w:webHidden/>
              </w:rPr>
              <w:t>20</w:t>
            </w:r>
            <w:r>
              <w:rPr>
                <w:noProof/>
                <w:webHidden/>
              </w:rPr>
              <w:fldChar w:fldCharType="end"/>
            </w:r>
          </w:hyperlink>
        </w:p>
        <w:p w14:paraId="414AE3E4" w14:textId="79591107"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4" w:history="1">
            <w:r w:rsidRPr="000F45EB">
              <w:rPr>
                <w:rStyle w:val="Hyperlink"/>
                <w:rFonts w:ascii="Times New Roman" w:eastAsia="Times New Roman" w:hAnsi="Times New Roman" w:cs="Times New Roman"/>
                <w:noProof/>
              </w:rPr>
              <w:t>6.3.3.</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Ajustes finales</w:t>
            </w:r>
            <w:r>
              <w:rPr>
                <w:noProof/>
                <w:webHidden/>
              </w:rPr>
              <w:tab/>
            </w:r>
            <w:r>
              <w:rPr>
                <w:noProof/>
                <w:webHidden/>
              </w:rPr>
              <w:fldChar w:fldCharType="begin"/>
            </w:r>
            <w:r>
              <w:rPr>
                <w:noProof/>
                <w:webHidden/>
              </w:rPr>
              <w:instrText xml:space="preserve"> PAGEREF _Toc221446744 \h </w:instrText>
            </w:r>
            <w:r>
              <w:rPr>
                <w:noProof/>
                <w:webHidden/>
              </w:rPr>
            </w:r>
            <w:r>
              <w:rPr>
                <w:noProof/>
                <w:webHidden/>
              </w:rPr>
              <w:fldChar w:fldCharType="separate"/>
            </w:r>
            <w:r>
              <w:rPr>
                <w:noProof/>
                <w:webHidden/>
              </w:rPr>
              <w:t>24</w:t>
            </w:r>
            <w:r>
              <w:rPr>
                <w:noProof/>
                <w:webHidden/>
              </w:rPr>
              <w:fldChar w:fldCharType="end"/>
            </w:r>
          </w:hyperlink>
        </w:p>
        <w:p w14:paraId="711587E1" w14:textId="3BFA4C8C"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45" w:history="1">
            <w:r w:rsidRPr="000F45EB">
              <w:rPr>
                <w:rStyle w:val="Hyperlink"/>
                <w:noProof/>
              </w:rPr>
              <w:t>6.4.</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Metodología compatible con IFRS 17</w:t>
            </w:r>
            <w:r>
              <w:rPr>
                <w:noProof/>
                <w:webHidden/>
              </w:rPr>
              <w:tab/>
            </w:r>
            <w:r>
              <w:rPr>
                <w:noProof/>
                <w:webHidden/>
              </w:rPr>
              <w:fldChar w:fldCharType="begin"/>
            </w:r>
            <w:r>
              <w:rPr>
                <w:noProof/>
                <w:webHidden/>
              </w:rPr>
              <w:instrText xml:space="preserve"> PAGEREF _Toc221446745 \h </w:instrText>
            </w:r>
            <w:r>
              <w:rPr>
                <w:noProof/>
                <w:webHidden/>
              </w:rPr>
            </w:r>
            <w:r>
              <w:rPr>
                <w:noProof/>
                <w:webHidden/>
              </w:rPr>
              <w:fldChar w:fldCharType="separate"/>
            </w:r>
            <w:r>
              <w:rPr>
                <w:noProof/>
                <w:webHidden/>
              </w:rPr>
              <w:t>24</w:t>
            </w:r>
            <w:r>
              <w:rPr>
                <w:noProof/>
                <w:webHidden/>
              </w:rPr>
              <w:fldChar w:fldCharType="end"/>
            </w:r>
          </w:hyperlink>
        </w:p>
        <w:p w14:paraId="620AABB6" w14:textId="0F550E2E"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6" w:history="1">
            <w:r w:rsidRPr="000F45EB">
              <w:rPr>
                <w:rStyle w:val="Hyperlink"/>
                <w:rFonts w:ascii="Times New Roman" w:hAnsi="Times New Roman" w:cs="Times New Roman"/>
                <w:noProof/>
              </w:rPr>
              <w:t>6.4.1.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Medición de siniestros</w:t>
            </w:r>
            <w:r>
              <w:rPr>
                <w:noProof/>
                <w:webHidden/>
              </w:rPr>
              <w:tab/>
            </w:r>
            <w:r>
              <w:rPr>
                <w:noProof/>
                <w:webHidden/>
              </w:rPr>
              <w:fldChar w:fldCharType="begin"/>
            </w:r>
            <w:r>
              <w:rPr>
                <w:noProof/>
                <w:webHidden/>
              </w:rPr>
              <w:instrText xml:space="preserve"> PAGEREF _Toc221446746 \h </w:instrText>
            </w:r>
            <w:r>
              <w:rPr>
                <w:noProof/>
                <w:webHidden/>
              </w:rPr>
            </w:r>
            <w:r>
              <w:rPr>
                <w:noProof/>
                <w:webHidden/>
              </w:rPr>
              <w:fldChar w:fldCharType="separate"/>
            </w:r>
            <w:r>
              <w:rPr>
                <w:noProof/>
                <w:webHidden/>
              </w:rPr>
              <w:t>25</w:t>
            </w:r>
            <w:r>
              <w:rPr>
                <w:noProof/>
                <w:webHidden/>
              </w:rPr>
              <w:fldChar w:fldCharType="end"/>
            </w:r>
          </w:hyperlink>
        </w:p>
        <w:p w14:paraId="4E6A5163" w14:textId="21BD8F27"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7" w:history="1">
            <w:r w:rsidRPr="000F45EB">
              <w:rPr>
                <w:rStyle w:val="Hyperlink"/>
                <w:rFonts w:ascii="Times New Roman" w:hAnsi="Times New Roman" w:cs="Times New Roman"/>
                <w:noProof/>
              </w:rPr>
              <w:t>6.4.2.</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Tasa de descuento</w:t>
            </w:r>
            <w:r>
              <w:rPr>
                <w:noProof/>
                <w:webHidden/>
              </w:rPr>
              <w:tab/>
            </w:r>
            <w:r>
              <w:rPr>
                <w:noProof/>
                <w:webHidden/>
              </w:rPr>
              <w:fldChar w:fldCharType="begin"/>
            </w:r>
            <w:r>
              <w:rPr>
                <w:noProof/>
                <w:webHidden/>
              </w:rPr>
              <w:instrText xml:space="preserve"> PAGEREF _Toc221446747 \h </w:instrText>
            </w:r>
            <w:r>
              <w:rPr>
                <w:noProof/>
                <w:webHidden/>
              </w:rPr>
            </w:r>
            <w:r>
              <w:rPr>
                <w:noProof/>
                <w:webHidden/>
              </w:rPr>
              <w:fldChar w:fldCharType="separate"/>
            </w:r>
            <w:r>
              <w:rPr>
                <w:noProof/>
                <w:webHidden/>
              </w:rPr>
              <w:t>27</w:t>
            </w:r>
            <w:r>
              <w:rPr>
                <w:noProof/>
                <w:webHidden/>
              </w:rPr>
              <w:fldChar w:fldCharType="end"/>
            </w:r>
          </w:hyperlink>
        </w:p>
        <w:p w14:paraId="5FC12EDC" w14:textId="570B4226" w:rsidR="00F778F2" w:rsidRDefault="00F778F2">
          <w:pPr>
            <w:pStyle w:val="TOC4"/>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8" w:history="1">
            <w:r w:rsidRPr="000F45EB">
              <w:rPr>
                <w:rStyle w:val="Hyperlink"/>
                <w:rFonts w:ascii="Times New Roman" w:hAnsi="Times New Roman" w:cs="Times New Roman"/>
                <w:noProof/>
              </w:rPr>
              <w:t>6.4.2.1.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Cartera replicante</w:t>
            </w:r>
            <w:r>
              <w:rPr>
                <w:noProof/>
                <w:webHidden/>
              </w:rPr>
              <w:tab/>
            </w:r>
            <w:r>
              <w:rPr>
                <w:noProof/>
                <w:webHidden/>
              </w:rPr>
              <w:fldChar w:fldCharType="begin"/>
            </w:r>
            <w:r>
              <w:rPr>
                <w:noProof/>
                <w:webHidden/>
              </w:rPr>
              <w:instrText xml:space="preserve"> PAGEREF _Toc221446748 \h </w:instrText>
            </w:r>
            <w:r>
              <w:rPr>
                <w:noProof/>
                <w:webHidden/>
              </w:rPr>
            </w:r>
            <w:r>
              <w:rPr>
                <w:noProof/>
                <w:webHidden/>
              </w:rPr>
              <w:fldChar w:fldCharType="separate"/>
            </w:r>
            <w:r>
              <w:rPr>
                <w:noProof/>
                <w:webHidden/>
              </w:rPr>
              <w:t>28</w:t>
            </w:r>
            <w:r>
              <w:rPr>
                <w:noProof/>
                <w:webHidden/>
              </w:rPr>
              <w:fldChar w:fldCharType="end"/>
            </w:r>
          </w:hyperlink>
        </w:p>
        <w:p w14:paraId="112F9D58" w14:textId="1A53A5A0" w:rsidR="00F778F2" w:rsidRDefault="00F778F2">
          <w:pPr>
            <w:pStyle w:val="TOC4"/>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49" w:history="1">
            <w:r w:rsidRPr="000F45EB">
              <w:rPr>
                <w:rStyle w:val="Hyperlink"/>
                <w:rFonts w:ascii="Times New Roman" w:eastAsia="Times New Roman" w:hAnsi="Times New Roman" w:cs="Times New Roman"/>
                <w:noProof/>
              </w:rPr>
              <w:t>6.4.2.2.</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Prima de Riesgo de Crédito</w:t>
            </w:r>
            <w:r>
              <w:rPr>
                <w:noProof/>
                <w:webHidden/>
              </w:rPr>
              <w:tab/>
            </w:r>
            <w:r>
              <w:rPr>
                <w:noProof/>
                <w:webHidden/>
              </w:rPr>
              <w:fldChar w:fldCharType="begin"/>
            </w:r>
            <w:r>
              <w:rPr>
                <w:noProof/>
                <w:webHidden/>
              </w:rPr>
              <w:instrText xml:space="preserve"> PAGEREF _Toc221446749 \h </w:instrText>
            </w:r>
            <w:r>
              <w:rPr>
                <w:noProof/>
                <w:webHidden/>
              </w:rPr>
            </w:r>
            <w:r>
              <w:rPr>
                <w:noProof/>
                <w:webHidden/>
              </w:rPr>
              <w:fldChar w:fldCharType="separate"/>
            </w:r>
            <w:r>
              <w:rPr>
                <w:noProof/>
                <w:webHidden/>
              </w:rPr>
              <w:t>28</w:t>
            </w:r>
            <w:r>
              <w:rPr>
                <w:noProof/>
                <w:webHidden/>
              </w:rPr>
              <w:fldChar w:fldCharType="end"/>
            </w:r>
          </w:hyperlink>
        </w:p>
        <w:p w14:paraId="6AB3F043" w14:textId="7556B56D"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50" w:history="1">
            <w:r w:rsidRPr="000F45EB">
              <w:rPr>
                <w:rStyle w:val="Hyperlink"/>
                <w:rFonts w:ascii="Times New Roman" w:hAnsi="Times New Roman" w:cs="Times New Roman"/>
                <w:noProof/>
              </w:rPr>
              <w:t>6.4.3.</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Ajuste de riesgo No Financiero</w:t>
            </w:r>
            <w:r>
              <w:rPr>
                <w:noProof/>
                <w:webHidden/>
              </w:rPr>
              <w:tab/>
            </w:r>
            <w:r>
              <w:rPr>
                <w:noProof/>
                <w:webHidden/>
              </w:rPr>
              <w:fldChar w:fldCharType="begin"/>
            </w:r>
            <w:r>
              <w:rPr>
                <w:noProof/>
                <w:webHidden/>
              </w:rPr>
              <w:instrText xml:space="preserve"> PAGEREF _Toc221446750 \h </w:instrText>
            </w:r>
            <w:r>
              <w:rPr>
                <w:noProof/>
                <w:webHidden/>
              </w:rPr>
            </w:r>
            <w:r>
              <w:rPr>
                <w:noProof/>
                <w:webHidden/>
              </w:rPr>
              <w:fldChar w:fldCharType="separate"/>
            </w:r>
            <w:r>
              <w:rPr>
                <w:noProof/>
                <w:webHidden/>
              </w:rPr>
              <w:t>33</w:t>
            </w:r>
            <w:r>
              <w:rPr>
                <w:noProof/>
                <w:webHidden/>
              </w:rPr>
              <w:fldChar w:fldCharType="end"/>
            </w:r>
          </w:hyperlink>
        </w:p>
        <w:p w14:paraId="14153C7E" w14:textId="7F06E990" w:rsidR="00F778F2" w:rsidRDefault="00F778F2">
          <w:pPr>
            <w:pStyle w:val="TOC4"/>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51" w:history="1">
            <w:r w:rsidRPr="000F45EB">
              <w:rPr>
                <w:rStyle w:val="Hyperlink"/>
                <w:rFonts w:ascii="Times New Roman" w:hAnsi="Times New Roman" w:cs="Times New Roman"/>
                <w:noProof/>
              </w:rPr>
              <w:t>6.4.3.1.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Enfoque de estimación de la distribución</w:t>
            </w:r>
            <w:r>
              <w:rPr>
                <w:noProof/>
                <w:webHidden/>
              </w:rPr>
              <w:tab/>
            </w:r>
            <w:r>
              <w:rPr>
                <w:noProof/>
                <w:webHidden/>
              </w:rPr>
              <w:fldChar w:fldCharType="begin"/>
            </w:r>
            <w:r>
              <w:rPr>
                <w:noProof/>
                <w:webHidden/>
              </w:rPr>
              <w:instrText xml:space="preserve"> PAGEREF _Toc221446751 \h </w:instrText>
            </w:r>
            <w:r>
              <w:rPr>
                <w:noProof/>
                <w:webHidden/>
              </w:rPr>
            </w:r>
            <w:r>
              <w:rPr>
                <w:noProof/>
                <w:webHidden/>
              </w:rPr>
              <w:fldChar w:fldCharType="separate"/>
            </w:r>
            <w:r>
              <w:rPr>
                <w:noProof/>
                <w:webHidden/>
              </w:rPr>
              <w:t>33</w:t>
            </w:r>
            <w:r>
              <w:rPr>
                <w:noProof/>
                <w:webHidden/>
              </w:rPr>
              <w:fldChar w:fldCharType="end"/>
            </w:r>
          </w:hyperlink>
        </w:p>
        <w:p w14:paraId="0DBE74CF" w14:textId="47146386" w:rsidR="00F778F2" w:rsidRDefault="00F778F2">
          <w:pPr>
            <w:pStyle w:val="TOC4"/>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52" w:history="1">
            <w:r w:rsidRPr="000F45EB">
              <w:rPr>
                <w:rStyle w:val="Hyperlink"/>
                <w:rFonts w:ascii="Times New Roman" w:hAnsi="Times New Roman" w:cs="Times New Roman"/>
                <w:noProof/>
              </w:rPr>
              <w:t>6.4.3.2.</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Selección y aplicación del ajuste de riesgo no financiero</w:t>
            </w:r>
            <w:r>
              <w:rPr>
                <w:noProof/>
                <w:webHidden/>
              </w:rPr>
              <w:tab/>
            </w:r>
            <w:r>
              <w:rPr>
                <w:noProof/>
                <w:webHidden/>
              </w:rPr>
              <w:fldChar w:fldCharType="begin"/>
            </w:r>
            <w:r>
              <w:rPr>
                <w:noProof/>
                <w:webHidden/>
              </w:rPr>
              <w:instrText xml:space="preserve"> PAGEREF _Toc221446752 \h </w:instrText>
            </w:r>
            <w:r>
              <w:rPr>
                <w:noProof/>
                <w:webHidden/>
              </w:rPr>
            </w:r>
            <w:r>
              <w:rPr>
                <w:noProof/>
                <w:webHidden/>
              </w:rPr>
              <w:fldChar w:fldCharType="separate"/>
            </w:r>
            <w:r>
              <w:rPr>
                <w:noProof/>
                <w:webHidden/>
              </w:rPr>
              <w:t>35</w:t>
            </w:r>
            <w:r>
              <w:rPr>
                <w:noProof/>
                <w:webHidden/>
              </w:rPr>
              <w:fldChar w:fldCharType="end"/>
            </w:r>
          </w:hyperlink>
        </w:p>
        <w:p w14:paraId="5E93E42B" w14:textId="128C909A"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53" w:history="1">
            <w:r w:rsidRPr="000F45EB">
              <w:rPr>
                <w:rStyle w:val="Hyperlink"/>
                <w:rFonts w:eastAsiaTheme="majorEastAsia"/>
                <w:noProof/>
              </w:rPr>
              <w:t>7.</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Análisis de Resultados</w:t>
            </w:r>
            <w:r>
              <w:rPr>
                <w:noProof/>
                <w:webHidden/>
              </w:rPr>
              <w:tab/>
            </w:r>
            <w:r>
              <w:rPr>
                <w:noProof/>
                <w:webHidden/>
              </w:rPr>
              <w:fldChar w:fldCharType="begin"/>
            </w:r>
            <w:r>
              <w:rPr>
                <w:noProof/>
                <w:webHidden/>
              </w:rPr>
              <w:instrText xml:space="preserve"> PAGEREF _Toc221446753 \h </w:instrText>
            </w:r>
            <w:r>
              <w:rPr>
                <w:noProof/>
                <w:webHidden/>
              </w:rPr>
            </w:r>
            <w:r>
              <w:rPr>
                <w:noProof/>
                <w:webHidden/>
              </w:rPr>
              <w:fldChar w:fldCharType="separate"/>
            </w:r>
            <w:r>
              <w:rPr>
                <w:noProof/>
                <w:webHidden/>
              </w:rPr>
              <w:t>36</w:t>
            </w:r>
            <w:r>
              <w:rPr>
                <w:noProof/>
                <w:webHidden/>
              </w:rPr>
              <w:fldChar w:fldCharType="end"/>
            </w:r>
          </w:hyperlink>
        </w:p>
        <w:p w14:paraId="6AA51D96" w14:textId="112A6FAE"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54" w:history="1">
            <w:r w:rsidRPr="000F45EB">
              <w:rPr>
                <w:rStyle w:val="Hyperlink"/>
                <w:noProof/>
              </w:rPr>
              <w:t>7.1.</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Medición bajo RGAA</w:t>
            </w:r>
            <w:r>
              <w:rPr>
                <w:noProof/>
                <w:webHidden/>
              </w:rPr>
              <w:tab/>
            </w:r>
            <w:r>
              <w:rPr>
                <w:noProof/>
                <w:webHidden/>
              </w:rPr>
              <w:fldChar w:fldCharType="begin"/>
            </w:r>
            <w:r>
              <w:rPr>
                <w:noProof/>
                <w:webHidden/>
              </w:rPr>
              <w:instrText xml:space="preserve"> PAGEREF _Toc221446754 \h </w:instrText>
            </w:r>
            <w:r>
              <w:rPr>
                <w:noProof/>
                <w:webHidden/>
              </w:rPr>
            </w:r>
            <w:r>
              <w:rPr>
                <w:noProof/>
                <w:webHidden/>
              </w:rPr>
              <w:fldChar w:fldCharType="separate"/>
            </w:r>
            <w:r>
              <w:rPr>
                <w:noProof/>
                <w:webHidden/>
              </w:rPr>
              <w:t>36</w:t>
            </w:r>
            <w:r>
              <w:rPr>
                <w:noProof/>
                <w:webHidden/>
              </w:rPr>
              <w:fldChar w:fldCharType="end"/>
            </w:r>
          </w:hyperlink>
        </w:p>
        <w:p w14:paraId="5B6CE6C5" w14:textId="5A55360E"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55" w:history="1">
            <w:r w:rsidRPr="000F45EB">
              <w:rPr>
                <w:rStyle w:val="Hyperlink"/>
                <w:noProof/>
              </w:rPr>
              <w:t>7.2.</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noProof/>
              </w:rPr>
              <w:t>Medición compatible con IFRS 17</w:t>
            </w:r>
            <w:r>
              <w:rPr>
                <w:noProof/>
                <w:webHidden/>
              </w:rPr>
              <w:tab/>
            </w:r>
            <w:r>
              <w:rPr>
                <w:noProof/>
                <w:webHidden/>
              </w:rPr>
              <w:fldChar w:fldCharType="begin"/>
            </w:r>
            <w:r>
              <w:rPr>
                <w:noProof/>
                <w:webHidden/>
              </w:rPr>
              <w:instrText xml:space="preserve"> PAGEREF _Toc221446755 \h </w:instrText>
            </w:r>
            <w:r>
              <w:rPr>
                <w:noProof/>
                <w:webHidden/>
              </w:rPr>
            </w:r>
            <w:r>
              <w:rPr>
                <w:noProof/>
                <w:webHidden/>
              </w:rPr>
              <w:fldChar w:fldCharType="separate"/>
            </w:r>
            <w:r>
              <w:rPr>
                <w:noProof/>
                <w:webHidden/>
              </w:rPr>
              <w:t>38</w:t>
            </w:r>
            <w:r>
              <w:rPr>
                <w:noProof/>
                <w:webHidden/>
              </w:rPr>
              <w:fldChar w:fldCharType="end"/>
            </w:r>
          </w:hyperlink>
        </w:p>
        <w:p w14:paraId="7BDE0741" w14:textId="48AE55FE"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56" w:history="1">
            <w:r w:rsidRPr="000F45EB">
              <w:rPr>
                <w:rStyle w:val="Hyperlink"/>
                <w:rFonts w:ascii="Times New Roman" w:eastAsia="Times New Roman" w:hAnsi="Times New Roman" w:cs="Times New Roman"/>
                <w:noProof/>
              </w:rPr>
              <w:t>7.2.1.</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Estimación de Siniestros</w:t>
            </w:r>
            <w:r>
              <w:rPr>
                <w:noProof/>
                <w:webHidden/>
              </w:rPr>
              <w:tab/>
            </w:r>
            <w:r>
              <w:rPr>
                <w:noProof/>
                <w:webHidden/>
              </w:rPr>
              <w:fldChar w:fldCharType="begin"/>
            </w:r>
            <w:r>
              <w:rPr>
                <w:noProof/>
                <w:webHidden/>
              </w:rPr>
              <w:instrText xml:space="preserve"> PAGEREF _Toc221446756 \h </w:instrText>
            </w:r>
            <w:r>
              <w:rPr>
                <w:noProof/>
                <w:webHidden/>
              </w:rPr>
            </w:r>
            <w:r>
              <w:rPr>
                <w:noProof/>
                <w:webHidden/>
              </w:rPr>
              <w:fldChar w:fldCharType="separate"/>
            </w:r>
            <w:r>
              <w:rPr>
                <w:noProof/>
                <w:webHidden/>
              </w:rPr>
              <w:t>38</w:t>
            </w:r>
            <w:r>
              <w:rPr>
                <w:noProof/>
                <w:webHidden/>
              </w:rPr>
              <w:fldChar w:fldCharType="end"/>
            </w:r>
          </w:hyperlink>
        </w:p>
        <w:p w14:paraId="0FC933D7" w14:textId="3B4170F8"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57" w:history="1">
            <w:r w:rsidRPr="000F45EB">
              <w:rPr>
                <w:rStyle w:val="Hyperlink"/>
                <w:rFonts w:ascii="Times New Roman" w:eastAsia="Times New Roman" w:hAnsi="Times New Roman" w:cs="Times New Roman"/>
                <w:noProof/>
              </w:rPr>
              <w:t>7.2.2.</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eastAsia="Times New Roman" w:hAnsi="Times New Roman" w:cs="Times New Roman"/>
                <w:noProof/>
              </w:rPr>
              <w:t>Factor de Descuento</w:t>
            </w:r>
            <w:r>
              <w:rPr>
                <w:noProof/>
                <w:webHidden/>
              </w:rPr>
              <w:tab/>
            </w:r>
            <w:r>
              <w:rPr>
                <w:noProof/>
                <w:webHidden/>
              </w:rPr>
              <w:fldChar w:fldCharType="begin"/>
            </w:r>
            <w:r>
              <w:rPr>
                <w:noProof/>
                <w:webHidden/>
              </w:rPr>
              <w:instrText xml:space="preserve"> PAGEREF _Toc221446757 \h </w:instrText>
            </w:r>
            <w:r>
              <w:rPr>
                <w:noProof/>
                <w:webHidden/>
              </w:rPr>
            </w:r>
            <w:r>
              <w:rPr>
                <w:noProof/>
                <w:webHidden/>
              </w:rPr>
              <w:fldChar w:fldCharType="separate"/>
            </w:r>
            <w:r>
              <w:rPr>
                <w:noProof/>
                <w:webHidden/>
              </w:rPr>
              <w:t>40</w:t>
            </w:r>
            <w:r>
              <w:rPr>
                <w:noProof/>
                <w:webHidden/>
              </w:rPr>
              <w:fldChar w:fldCharType="end"/>
            </w:r>
          </w:hyperlink>
        </w:p>
        <w:p w14:paraId="34D66FE3" w14:textId="4B9D0F00" w:rsidR="00F778F2" w:rsidRDefault="00F778F2">
          <w:pPr>
            <w:pStyle w:val="TOC3"/>
            <w:tabs>
              <w:tab w:val="left" w:pos="2016"/>
              <w:tab w:val="right" w:leader="dot" w:pos="9350"/>
            </w:tabs>
            <w:rPr>
              <w:rFonts w:asciiTheme="minorHAnsi" w:eastAsiaTheme="minorEastAsia" w:hAnsiTheme="minorHAnsi" w:cstheme="minorBidi"/>
              <w:noProof/>
              <w:kern w:val="2"/>
              <w:sz w:val="24"/>
              <w:szCs w:val="24"/>
              <w:lang w:eastAsia="es-AR"/>
              <w14:ligatures w14:val="standardContextual"/>
            </w:rPr>
          </w:pPr>
          <w:hyperlink w:anchor="_Toc221446758" w:history="1">
            <w:r w:rsidRPr="000F45EB">
              <w:rPr>
                <w:rStyle w:val="Hyperlink"/>
                <w:rFonts w:ascii="Times New Roman" w:hAnsi="Times New Roman" w:cs="Times New Roman"/>
                <w:noProof/>
              </w:rPr>
              <w:t>7.2.3.</w:t>
            </w:r>
            <w:r>
              <w:rPr>
                <w:rFonts w:asciiTheme="minorHAnsi" w:eastAsiaTheme="minorEastAsia" w:hAnsiTheme="minorHAnsi" w:cstheme="minorBidi"/>
                <w:noProof/>
                <w:kern w:val="2"/>
                <w:sz w:val="24"/>
                <w:szCs w:val="24"/>
                <w:lang w:eastAsia="es-AR"/>
                <w14:ligatures w14:val="standardContextual"/>
              </w:rPr>
              <w:tab/>
            </w:r>
            <w:r w:rsidRPr="000F45EB">
              <w:rPr>
                <w:rStyle w:val="Hyperlink"/>
                <w:rFonts w:ascii="Times New Roman" w:hAnsi="Times New Roman" w:cs="Times New Roman"/>
                <w:noProof/>
              </w:rPr>
              <w:t>Ajuste de riesgo No Financiero</w:t>
            </w:r>
            <w:r>
              <w:rPr>
                <w:noProof/>
                <w:webHidden/>
              </w:rPr>
              <w:tab/>
            </w:r>
            <w:r>
              <w:rPr>
                <w:noProof/>
                <w:webHidden/>
              </w:rPr>
              <w:fldChar w:fldCharType="begin"/>
            </w:r>
            <w:r>
              <w:rPr>
                <w:noProof/>
                <w:webHidden/>
              </w:rPr>
              <w:instrText xml:space="preserve"> PAGEREF _Toc221446758 \h </w:instrText>
            </w:r>
            <w:r>
              <w:rPr>
                <w:noProof/>
                <w:webHidden/>
              </w:rPr>
            </w:r>
            <w:r>
              <w:rPr>
                <w:noProof/>
                <w:webHidden/>
              </w:rPr>
              <w:fldChar w:fldCharType="separate"/>
            </w:r>
            <w:r>
              <w:rPr>
                <w:noProof/>
                <w:webHidden/>
              </w:rPr>
              <w:t>43</w:t>
            </w:r>
            <w:r>
              <w:rPr>
                <w:noProof/>
                <w:webHidden/>
              </w:rPr>
              <w:fldChar w:fldCharType="end"/>
            </w:r>
          </w:hyperlink>
        </w:p>
        <w:p w14:paraId="218F1475" w14:textId="5B409C77" w:rsidR="00F778F2" w:rsidRDefault="00F778F2">
          <w:pPr>
            <w:pStyle w:val="TOC2"/>
            <w:tabs>
              <w:tab w:val="left" w:pos="2806"/>
              <w:tab w:val="right" w:leader="dot" w:pos="9350"/>
            </w:tabs>
            <w:rPr>
              <w:rFonts w:asciiTheme="minorHAnsi" w:eastAsiaTheme="minorEastAsia" w:hAnsiTheme="minorHAnsi" w:cstheme="minorBidi"/>
              <w:noProof/>
              <w:kern w:val="2"/>
              <w:sz w:val="24"/>
              <w:szCs w:val="24"/>
              <w:lang w:val="es-AR" w:eastAsia="es-AR"/>
              <w14:ligatures w14:val="standardContextual"/>
            </w:rPr>
          </w:pPr>
          <w:hyperlink w:anchor="_Toc221446759" w:history="1">
            <w:r w:rsidRPr="000F45EB">
              <w:rPr>
                <w:rStyle w:val="Hyperlink"/>
                <w:rFonts w:eastAsiaTheme="majorEastAsia"/>
                <w:noProof/>
              </w:rPr>
              <w:t>7.3.</w:t>
            </w:r>
            <w:r>
              <w:rPr>
                <w:rFonts w:asciiTheme="minorHAnsi" w:eastAsiaTheme="minorEastAsia" w:hAnsiTheme="minorHAnsi" w:cstheme="minorBidi"/>
                <w:noProof/>
                <w:kern w:val="2"/>
                <w:sz w:val="24"/>
                <w:szCs w:val="24"/>
                <w:lang w:val="es-AR" w:eastAsia="es-AR"/>
                <w14:ligatures w14:val="standardContextual"/>
              </w:rPr>
              <w:tab/>
            </w:r>
            <w:r w:rsidRPr="000F45EB">
              <w:rPr>
                <w:rStyle w:val="Hyperlink"/>
                <w:rFonts w:eastAsiaTheme="majorEastAsia"/>
                <w:noProof/>
              </w:rPr>
              <w:t>Resultados</w:t>
            </w:r>
            <w:r>
              <w:rPr>
                <w:noProof/>
                <w:webHidden/>
              </w:rPr>
              <w:tab/>
            </w:r>
            <w:r>
              <w:rPr>
                <w:noProof/>
                <w:webHidden/>
              </w:rPr>
              <w:fldChar w:fldCharType="begin"/>
            </w:r>
            <w:r>
              <w:rPr>
                <w:noProof/>
                <w:webHidden/>
              </w:rPr>
              <w:instrText xml:space="preserve"> PAGEREF _Toc221446759 \h </w:instrText>
            </w:r>
            <w:r>
              <w:rPr>
                <w:noProof/>
                <w:webHidden/>
              </w:rPr>
            </w:r>
            <w:r>
              <w:rPr>
                <w:noProof/>
                <w:webHidden/>
              </w:rPr>
              <w:fldChar w:fldCharType="separate"/>
            </w:r>
            <w:r>
              <w:rPr>
                <w:noProof/>
                <w:webHidden/>
              </w:rPr>
              <w:t>44</w:t>
            </w:r>
            <w:r>
              <w:rPr>
                <w:noProof/>
                <w:webHidden/>
              </w:rPr>
              <w:fldChar w:fldCharType="end"/>
            </w:r>
          </w:hyperlink>
        </w:p>
        <w:p w14:paraId="0910A0CD" w14:textId="418B4266"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60" w:history="1">
            <w:r w:rsidRPr="000F45EB">
              <w:rPr>
                <w:rStyle w:val="Hyperlink"/>
                <w:rFonts w:eastAsiaTheme="majorEastAsia"/>
                <w:noProof/>
              </w:rPr>
              <w:t>8.</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Conclusiones</w:t>
            </w:r>
            <w:r>
              <w:rPr>
                <w:noProof/>
                <w:webHidden/>
              </w:rPr>
              <w:tab/>
            </w:r>
            <w:r>
              <w:rPr>
                <w:noProof/>
                <w:webHidden/>
              </w:rPr>
              <w:fldChar w:fldCharType="begin"/>
            </w:r>
            <w:r>
              <w:rPr>
                <w:noProof/>
                <w:webHidden/>
              </w:rPr>
              <w:instrText xml:space="preserve"> PAGEREF _Toc221446760 \h </w:instrText>
            </w:r>
            <w:r>
              <w:rPr>
                <w:noProof/>
                <w:webHidden/>
              </w:rPr>
            </w:r>
            <w:r>
              <w:rPr>
                <w:noProof/>
                <w:webHidden/>
              </w:rPr>
              <w:fldChar w:fldCharType="separate"/>
            </w:r>
            <w:r>
              <w:rPr>
                <w:noProof/>
                <w:webHidden/>
              </w:rPr>
              <w:t>46</w:t>
            </w:r>
            <w:r>
              <w:rPr>
                <w:noProof/>
                <w:webHidden/>
              </w:rPr>
              <w:fldChar w:fldCharType="end"/>
            </w:r>
          </w:hyperlink>
        </w:p>
        <w:p w14:paraId="5DF59936" w14:textId="25A6CD50"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61" w:history="1">
            <w:r w:rsidRPr="000F45EB">
              <w:rPr>
                <w:rStyle w:val="Hyperlink"/>
                <w:rFonts w:eastAsiaTheme="majorEastAsia"/>
                <w:noProof/>
              </w:rPr>
              <w:t>9.</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Anexo</w:t>
            </w:r>
            <w:r>
              <w:rPr>
                <w:noProof/>
                <w:webHidden/>
              </w:rPr>
              <w:tab/>
            </w:r>
            <w:r>
              <w:rPr>
                <w:noProof/>
                <w:webHidden/>
              </w:rPr>
              <w:fldChar w:fldCharType="begin"/>
            </w:r>
            <w:r>
              <w:rPr>
                <w:noProof/>
                <w:webHidden/>
              </w:rPr>
              <w:instrText xml:space="preserve"> PAGEREF _Toc221446761 \h </w:instrText>
            </w:r>
            <w:r>
              <w:rPr>
                <w:noProof/>
                <w:webHidden/>
              </w:rPr>
            </w:r>
            <w:r>
              <w:rPr>
                <w:noProof/>
                <w:webHidden/>
              </w:rPr>
              <w:fldChar w:fldCharType="separate"/>
            </w:r>
            <w:r>
              <w:rPr>
                <w:noProof/>
                <w:webHidden/>
              </w:rPr>
              <w:t>48</w:t>
            </w:r>
            <w:r>
              <w:rPr>
                <w:noProof/>
                <w:webHidden/>
              </w:rPr>
              <w:fldChar w:fldCharType="end"/>
            </w:r>
          </w:hyperlink>
        </w:p>
        <w:p w14:paraId="3203840F" w14:textId="498E7681"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62" w:history="1">
            <w:r w:rsidRPr="000F45EB">
              <w:rPr>
                <w:rStyle w:val="Hyperlink"/>
                <w:rFonts w:eastAsiaTheme="majorEastAsia"/>
                <w:noProof/>
              </w:rPr>
              <w:t>10.</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Referencias</w:t>
            </w:r>
            <w:r>
              <w:rPr>
                <w:noProof/>
                <w:webHidden/>
              </w:rPr>
              <w:tab/>
            </w:r>
            <w:r>
              <w:rPr>
                <w:noProof/>
                <w:webHidden/>
              </w:rPr>
              <w:fldChar w:fldCharType="begin"/>
            </w:r>
            <w:r>
              <w:rPr>
                <w:noProof/>
                <w:webHidden/>
              </w:rPr>
              <w:instrText xml:space="preserve"> PAGEREF _Toc221446762 \h </w:instrText>
            </w:r>
            <w:r>
              <w:rPr>
                <w:noProof/>
                <w:webHidden/>
              </w:rPr>
            </w:r>
            <w:r>
              <w:rPr>
                <w:noProof/>
                <w:webHidden/>
              </w:rPr>
              <w:fldChar w:fldCharType="separate"/>
            </w:r>
            <w:r>
              <w:rPr>
                <w:noProof/>
                <w:webHidden/>
              </w:rPr>
              <w:t>48</w:t>
            </w:r>
            <w:r>
              <w:rPr>
                <w:noProof/>
                <w:webHidden/>
              </w:rPr>
              <w:fldChar w:fldCharType="end"/>
            </w:r>
          </w:hyperlink>
        </w:p>
        <w:p w14:paraId="4BEE0C50" w14:textId="37B303E3" w:rsidR="00F778F2" w:rsidRDefault="00F778F2">
          <w:pPr>
            <w:pStyle w:val="TOC1"/>
            <w:tabs>
              <w:tab w:val="left" w:pos="2623"/>
              <w:tab w:val="right" w:leader="dot" w:pos="9350"/>
            </w:tabs>
            <w:rPr>
              <w:rFonts w:asciiTheme="minorHAnsi" w:eastAsiaTheme="minorEastAsia" w:hAnsiTheme="minorHAnsi" w:cstheme="minorBidi"/>
              <w:b w:val="0"/>
              <w:bCs w:val="0"/>
              <w:noProof/>
              <w:kern w:val="2"/>
              <w:sz w:val="24"/>
              <w:szCs w:val="24"/>
              <w:lang w:val="es-AR" w:eastAsia="es-AR"/>
              <w14:ligatures w14:val="standardContextual"/>
            </w:rPr>
          </w:pPr>
          <w:hyperlink w:anchor="_Toc221446763" w:history="1">
            <w:r w:rsidRPr="000F45EB">
              <w:rPr>
                <w:rStyle w:val="Hyperlink"/>
                <w:rFonts w:eastAsiaTheme="majorEastAsia"/>
                <w:noProof/>
              </w:rPr>
              <w:t>11.</w:t>
            </w:r>
            <w:r>
              <w:rPr>
                <w:rFonts w:asciiTheme="minorHAnsi" w:eastAsiaTheme="minorEastAsia" w:hAnsiTheme="minorHAnsi" w:cstheme="minorBidi"/>
                <w:b w:val="0"/>
                <w:bCs w:val="0"/>
                <w:noProof/>
                <w:kern w:val="2"/>
                <w:sz w:val="24"/>
                <w:szCs w:val="24"/>
                <w:lang w:val="es-AR" w:eastAsia="es-AR"/>
                <w14:ligatures w14:val="standardContextual"/>
              </w:rPr>
              <w:tab/>
            </w:r>
            <w:r w:rsidRPr="000F45EB">
              <w:rPr>
                <w:rStyle w:val="Hyperlink"/>
                <w:rFonts w:eastAsiaTheme="majorEastAsia"/>
                <w:noProof/>
              </w:rPr>
              <w:t>Bibliografía</w:t>
            </w:r>
            <w:r>
              <w:rPr>
                <w:noProof/>
                <w:webHidden/>
              </w:rPr>
              <w:tab/>
            </w:r>
            <w:r>
              <w:rPr>
                <w:noProof/>
                <w:webHidden/>
              </w:rPr>
              <w:fldChar w:fldCharType="begin"/>
            </w:r>
            <w:r>
              <w:rPr>
                <w:noProof/>
                <w:webHidden/>
              </w:rPr>
              <w:instrText xml:space="preserve"> PAGEREF _Toc221446763 \h </w:instrText>
            </w:r>
            <w:r>
              <w:rPr>
                <w:noProof/>
                <w:webHidden/>
              </w:rPr>
            </w:r>
            <w:r>
              <w:rPr>
                <w:noProof/>
                <w:webHidden/>
              </w:rPr>
              <w:fldChar w:fldCharType="separate"/>
            </w:r>
            <w:r>
              <w:rPr>
                <w:noProof/>
                <w:webHidden/>
              </w:rPr>
              <w:t>48</w:t>
            </w:r>
            <w:r>
              <w:rPr>
                <w:noProof/>
                <w:webHidden/>
              </w:rPr>
              <w:fldChar w:fldCharType="end"/>
            </w:r>
          </w:hyperlink>
        </w:p>
        <w:p w14:paraId="00000052" w14:textId="065B433D" w:rsidR="00E6009A" w:rsidRPr="00EA4C1F" w:rsidRDefault="00000000" w:rsidP="00EA4C1F">
          <w:pPr>
            <w:widowControl w:val="0"/>
            <w:tabs>
              <w:tab w:val="right" w:leader="dot" w:pos="12000"/>
            </w:tabs>
            <w:spacing w:before="60" w:after="0" w:line="240" w:lineRule="auto"/>
            <w:jc w:val="both"/>
            <w:rPr>
              <w:rFonts w:ascii="Times New Roman" w:eastAsia="Arial" w:hAnsi="Times New Roman" w:cs="Times New Roman"/>
              <w:b/>
              <w:bCs/>
              <w:color w:val="000000"/>
            </w:rPr>
          </w:pPr>
          <w:r w:rsidRPr="00EA4C1F">
            <w:rPr>
              <w:rFonts w:ascii="Times New Roman" w:hAnsi="Times New Roman" w:cs="Times New Roman"/>
            </w:rPr>
            <w:fldChar w:fldCharType="end"/>
          </w:r>
        </w:p>
      </w:sdtContent>
    </w:sdt>
    <w:p w14:paraId="00000053" w14:textId="77777777" w:rsidR="00E6009A" w:rsidRPr="00EA4C1F" w:rsidRDefault="00E6009A" w:rsidP="00EA4C1F">
      <w:pPr>
        <w:spacing w:after="0" w:line="480" w:lineRule="auto"/>
        <w:jc w:val="both"/>
        <w:rPr>
          <w:rFonts w:ascii="Times New Roman" w:eastAsia="Times New Roman" w:hAnsi="Times New Roman" w:cs="Times New Roman"/>
        </w:rPr>
      </w:pPr>
    </w:p>
    <w:p w14:paraId="00000054" w14:textId="77777777" w:rsidR="00E6009A" w:rsidRPr="00EA4C1F" w:rsidRDefault="00000000" w:rsidP="00EA4C1F">
      <w:pPr>
        <w:pStyle w:val="Heading1"/>
        <w:numPr>
          <w:ilvl w:val="0"/>
          <w:numId w:val="3"/>
        </w:numPr>
        <w:rPr>
          <w:sz w:val="44"/>
          <w:szCs w:val="44"/>
        </w:rPr>
      </w:pPr>
      <w:r w:rsidRPr="00EA4C1F">
        <w:rPr>
          <w:sz w:val="44"/>
          <w:szCs w:val="44"/>
        </w:rPr>
        <w:t xml:space="preserve"> </w:t>
      </w:r>
      <w:bookmarkStart w:id="2" w:name="_Toc221446723"/>
      <w:sdt>
        <w:sdtPr>
          <w:tag w:val="goog_rdk_7"/>
          <w:id w:val="-1861166953"/>
        </w:sdtPr>
        <w:sdtContent/>
      </w:sdt>
      <w:sdt>
        <w:sdtPr>
          <w:tag w:val="goog_rdk_8"/>
          <w:id w:val="-396430687"/>
        </w:sdtPr>
        <w:sdtContent/>
      </w:sdt>
      <w:r w:rsidRPr="00EA4C1F">
        <w:rPr>
          <w:sz w:val="44"/>
          <w:szCs w:val="44"/>
        </w:rPr>
        <w:t>Glosario</w:t>
      </w:r>
      <w:bookmarkEnd w:id="2"/>
    </w:p>
    <w:p w14:paraId="00000055" w14:textId="77777777" w:rsidR="00E6009A" w:rsidRPr="00EA4C1F" w:rsidRDefault="00000000" w:rsidP="00EA4C1F">
      <w:pPr>
        <w:spacing w:after="0" w:line="480" w:lineRule="auto"/>
        <w:jc w:val="both"/>
        <w:rPr>
          <w:rFonts w:ascii="Times New Roman" w:eastAsia="Times New Roman" w:hAnsi="Times New Roman" w:cs="Times New Roman"/>
        </w:rPr>
      </w:pPr>
      <w:r w:rsidRPr="00EA4C1F">
        <w:rPr>
          <w:rFonts w:ascii="Times New Roman" w:eastAsia="Times New Roman" w:hAnsi="Times New Roman" w:cs="Times New Roman"/>
        </w:rPr>
        <w:t xml:space="preserve"> </w:t>
      </w:r>
    </w:p>
    <w:p w14:paraId="00000056" w14:textId="77777777" w:rsidR="00E6009A" w:rsidRPr="00EA4C1F" w:rsidRDefault="00000000" w:rsidP="00EA4C1F">
      <w:pPr>
        <w:pStyle w:val="Heading1"/>
        <w:numPr>
          <w:ilvl w:val="0"/>
          <w:numId w:val="3"/>
        </w:numPr>
      </w:pPr>
      <w:bookmarkStart w:id="3" w:name="_Toc221446724"/>
      <w:r w:rsidRPr="00EA4C1F">
        <w:t>Introducción</w:t>
      </w:r>
      <w:bookmarkEnd w:id="3"/>
    </w:p>
    <w:p w14:paraId="00000057" w14:textId="2C55380C"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el ámbito asegurador, la correcta estimación de las reservas técnicas constituye un componente esencial para la solvencia y estabilidad financiera de las entidades. Dentro de estas, las reservas por siniestros IBNR representan una de las partidas más relevantes</w:t>
      </w:r>
      <w:r w:rsidR="0060213D">
        <w:rPr>
          <w:rFonts w:ascii="Times New Roman" w:eastAsia="Times New Roman" w:hAnsi="Times New Roman" w:cs="Times New Roman"/>
          <w:sz w:val="24"/>
          <w:szCs w:val="24"/>
        </w:rPr>
        <w:t xml:space="preserve"> ya que se destinan a cubrir el riesgo de siniestro. Dicho riesgo se define como la </w:t>
      </w:r>
      <w:r w:rsidR="0060213D" w:rsidRPr="0060213D">
        <w:rPr>
          <w:rFonts w:ascii="Times New Roman" w:eastAsia="Times New Roman" w:hAnsi="Times New Roman" w:cs="Times New Roman"/>
          <w:sz w:val="24"/>
          <w:szCs w:val="24"/>
        </w:rPr>
        <w:t>posibilidad de que ocurra un evento imprevisto y dañino, cubierto por una póliza de seguro, que pueda generar una pérdida material, física o económica</w:t>
      </w:r>
      <w:r w:rsidR="0060213D">
        <w:rPr>
          <w:rFonts w:ascii="Times New Roman" w:eastAsia="Times New Roman" w:hAnsi="Times New Roman" w:cs="Times New Roman"/>
          <w:sz w:val="24"/>
          <w:szCs w:val="24"/>
        </w:rPr>
        <w:t>. Esto es</w:t>
      </w:r>
      <w:r w:rsidRPr="00EA4C1F">
        <w:rPr>
          <w:rFonts w:ascii="Times New Roman" w:eastAsia="Times New Roman" w:hAnsi="Times New Roman" w:cs="Times New Roman"/>
          <w:sz w:val="24"/>
          <w:szCs w:val="24"/>
        </w:rPr>
        <w:t xml:space="preserve"> especialmente en ramos de responsabilidad civil, donde los reclamos suelen caracterizarse por demoras significativas entre la ocurrencia del evento y su liquidación final.</w:t>
      </w:r>
      <w:r w:rsidR="0060213D">
        <w:rPr>
          <w:rFonts w:ascii="Times New Roman" w:eastAsia="Times New Roman" w:hAnsi="Times New Roman" w:cs="Times New Roman"/>
          <w:sz w:val="24"/>
          <w:szCs w:val="24"/>
        </w:rPr>
        <w:t xml:space="preserve"> </w:t>
      </w:r>
    </w:p>
    <w:p w14:paraId="00000058" w14:textId="62F6F67C"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Recientemente, en Argentina, la metodología de cálculo del IBNR, descripta en el RGAA</w:t>
      </w:r>
      <w:sdt>
        <w:sdtPr>
          <w:rPr>
            <w:rFonts w:ascii="Times New Roman" w:eastAsia="Times New Roman" w:hAnsi="Times New Roman" w:cs="Times New Roman"/>
            <w:sz w:val="24"/>
            <w:szCs w:val="24"/>
          </w:rPr>
          <w:id w:val="678853364"/>
          <w:citation/>
        </w:sdtPr>
        <w:sdtContent>
          <w:r w:rsidR="00FF349E">
            <w:rPr>
              <w:rFonts w:ascii="Times New Roman" w:eastAsia="Times New Roman" w:hAnsi="Times New Roman" w:cs="Times New Roman"/>
              <w:sz w:val="24"/>
              <w:szCs w:val="24"/>
            </w:rPr>
            <w:fldChar w:fldCharType="begin"/>
          </w:r>
          <w:r w:rsidR="00680293">
            <w:rPr>
              <w:rFonts w:ascii="Times New Roman" w:eastAsia="Times New Roman" w:hAnsi="Times New Roman" w:cs="Times New Roman"/>
              <w:sz w:val="24"/>
              <w:szCs w:val="24"/>
            </w:rPr>
            <w:instrText xml:space="preserve">CITATION RGAA \l 1033 </w:instrText>
          </w:r>
          <w:r w:rsidR="00FF349E">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FF349E">
            <w:rPr>
              <w:rFonts w:ascii="Times New Roman" w:eastAsia="Times New Roman" w:hAnsi="Times New Roman" w:cs="Times New Roman"/>
              <w:sz w:val="24"/>
              <w:szCs w:val="24"/>
            </w:rPr>
            <w:fldChar w:fldCharType="end"/>
          </w:r>
        </w:sdtContent>
      </w:sdt>
      <w:r w:rsidR="00FF349E">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se vio alterada por </w:t>
      </w:r>
      <w:sdt>
        <w:sdtPr>
          <w:rPr>
            <w:rFonts w:ascii="Times New Roman" w:hAnsi="Times New Roman" w:cs="Times New Roman"/>
          </w:rPr>
          <w:tag w:val="goog_rdk_9"/>
          <w:id w:val="1683941475"/>
        </w:sdtPr>
        <w:sdtContent/>
      </w:sdt>
      <w:r w:rsidRPr="00FF349E">
        <w:rPr>
          <w:rFonts w:ascii="Times New Roman" w:eastAsia="Times New Roman" w:hAnsi="Times New Roman" w:cs="Times New Roman"/>
          <w:color w:val="000000" w:themeColor="text1"/>
          <w:sz w:val="24"/>
          <w:szCs w:val="24"/>
        </w:rPr>
        <w:t xml:space="preserve">la Resolución </w:t>
      </w:r>
      <w:r w:rsidR="00FF349E" w:rsidRPr="00FF349E">
        <w:rPr>
          <w:rFonts w:ascii="Times New Roman" w:eastAsia="Times New Roman" w:hAnsi="Times New Roman" w:cs="Times New Roman"/>
          <w:color w:val="000000" w:themeColor="text1"/>
          <w:sz w:val="24"/>
          <w:szCs w:val="24"/>
        </w:rPr>
        <w:t xml:space="preserve">SSN-MEC </w:t>
      </w:r>
      <w:r w:rsidRPr="00FF349E">
        <w:rPr>
          <w:rFonts w:ascii="Times New Roman" w:eastAsia="Times New Roman" w:hAnsi="Times New Roman" w:cs="Times New Roman"/>
          <w:color w:val="000000" w:themeColor="text1"/>
          <w:sz w:val="24"/>
          <w:szCs w:val="24"/>
        </w:rPr>
        <w:t>287/2025</w:t>
      </w:r>
      <w:sdt>
        <w:sdtPr>
          <w:rPr>
            <w:rFonts w:ascii="Times New Roman" w:eastAsia="Times New Roman" w:hAnsi="Times New Roman" w:cs="Times New Roman"/>
            <w:color w:val="000000" w:themeColor="text1"/>
            <w:sz w:val="24"/>
            <w:szCs w:val="24"/>
          </w:rPr>
          <w:id w:val="-1709644368"/>
          <w:citation/>
        </w:sdtPr>
        <w:sdtContent>
          <w:r w:rsidR="00FF349E" w:rsidRPr="00FF349E">
            <w:rPr>
              <w:rFonts w:ascii="Times New Roman" w:eastAsia="Times New Roman" w:hAnsi="Times New Roman" w:cs="Times New Roman"/>
              <w:color w:val="000000" w:themeColor="text1"/>
              <w:sz w:val="24"/>
              <w:szCs w:val="24"/>
            </w:rPr>
            <w:fldChar w:fldCharType="begin"/>
          </w:r>
          <w:r w:rsidR="00FF349E" w:rsidRPr="00FF349E">
            <w:rPr>
              <w:rFonts w:ascii="Times New Roman" w:eastAsia="Times New Roman" w:hAnsi="Times New Roman" w:cs="Times New Roman"/>
              <w:color w:val="000000" w:themeColor="text1"/>
              <w:sz w:val="24"/>
              <w:szCs w:val="24"/>
            </w:rPr>
            <w:instrText xml:space="preserve">CITATION SSN1 \l 1033 </w:instrText>
          </w:r>
          <w:r w:rsidR="00FF349E" w:rsidRPr="00FF349E">
            <w:rPr>
              <w:rFonts w:ascii="Times New Roman" w:eastAsia="Times New Roman" w:hAnsi="Times New Roman" w:cs="Times New Roman"/>
              <w:color w:val="000000" w:themeColor="text1"/>
              <w:sz w:val="24"/>
              <w:szCs w:val="24"/>
            </w:rPr>
            <w:fldChar w:fldCharType="separate"/>
          </w:r>
          <w:r w:rsidR="00962F7A">
            <w:rPr>
              <w:rFonts w:ascii="Times New Roman" w:eastAsia="Times New Roman" w:hAnsi="Times New Roman" w:cs="Times New Roman"/>
              <w:noProof/>
              <w:color w:val="000000" w:themeColor="text1"/>
              <w:sz w:val="24"/>
              <w:szCs w:val="24"/>
            </w:rPr>
            <w:t xml:space="preserve"> </w:t>
          </w:r>
          <w:r w:rsidR="00962F7A" w:rsidRPr="00962F7A">
            <w:rPr>
              <w:rFonts w:ascii="Times New Roman" w:eastAsia="Times New Roman" w:hAnsi="Times New Roman" w:cs="Times New Roman"/>
              <w:noProof/>
              <w:color w:val="000000" w:themeColor="text1"/>
              <w:sz w:val="24"/>
              <w:szCs w:val="24"/>
            </w:rPr>
            <w:t>(Superintendencia de Seguros de la Nación, 2025)</w:t>
          </w:r>
          <w:r w:rsidR="00FF349E" w:rsidRPr="00FF349E">
            <w:rPr>
              <w:rFonts w:ascii="Times New Roman" w:eastAsia="Times New Roman" w:hAnsi="Times New Roman" w:cs="Times New Roman"/>
              <w:color w:val="000000" w:themeColor="text1"/>
              <w:sz w:val="24"/>
              <w:szCs w:val="24"/>
            </w:rPr>
            <w:fldChar w:fldCharType="end"/>
          </w:r>
        </w:sdtContent>
      </w:sdt>
      <w:r w:rsidRPr="00FF349E">
        <w:rPr>
          <w:rFonts w:ascii="Times New Roman" w:eastAsia="Times New Roman" w:hAnsi="Times New Roman" w:cs="Times New Roman"/>
          <w:color w:val="000000" w:themeColor="text1"/>
          <w:sz w:val="24"/>
          <w:szCs w:val="24"/>
        </w:rPr>
        <w:t>. Dicho documento formalizó los cambios explicitados en la Resolución Transitoria</w:t>
      </w:r>
      <w:r w:rsidR="00FF349E" w:rsidRPr="00FF349E">
        <w:rPr>
          <w:rFonts w:ascii="Times New Roman" w:eastAsia="Times New Roman" w:hAnsi="Times New Roman" w:cs="Times New Roman"/>
          <w:color w:val="000000" w:themeColor="text1"/>
          <w:sz w:val="24"/>
          <w:szCs w:val="24"/>
        </w:rPr>
        <w:t xml:space="preserve"> 353/2023</w:t>
      </w:r>
      <w:sdt>
        <w:sdtPr>
          <w:rPr>
            <w:rFonts w:ascii="Times New Roman" w:eastAsia="Times New Roman" w:hAnsi="Times New Roman" w:cs="Times New Roman"/>
            <w:color w:val="000000" w:themeColor="text1"/>
            <w:sz w:val="24"/>
            <w:szCs w:val="24"/>
          </w:rPr>
          <w:id w:val="714777325"/>
          <w:citation/>
        </w:sdtPr>
        <w:sdtContent>
          <w:r w:rsidR="00FF349E" w:rsidRPr="00FF349E">
            <w:rPr>
              <w:rFonts w:ascii="Times New Roman" w:eastAsia="Times New Roman" w:hAnsi="Times New Roman" w:cs="Times New Roman"/>
              <w:color w:val="000000" w:themeColor="text1"/>
              <w:sz w:val="24"/>
              <w:szCs w:val="24"/>
            </w:rPr>
            <w:fldChar w:fldCharType="begin"/>
          </w:r>
          <w:r w:rsidR="00680293">
            <w:rPr>
              <w:rFonts w:ascii="Times New Roman" w:eastAsia="Times New Roman" w:hAnsi="Times New Roman" w:cs="Times New Roman"/>
              <w:color w:val="000000" w:themeColor="text1"/>
              <w:sz w:val="24"/>
              <w:szCs w:val="24"/>
            </w:rPr>
            <w:instrText xml:space="preserve">CITATION SSN2 \l 1033 </w:instrText>
          </w:r>
          <w:r w:rsidR="00FF349E" w:rsidRPr="00FF349E">
            <w:rPr>
              <w:rFonts w:ascii="Times New Roman" w:eastAsia="Times New Roman" w:hAnsi="Times New Roman" w:cs="Times New Roman"/>
              <w:color w:val="000000" w:themeColor="text1"/>
              <w:sz w:val="24"/>
              <w:szCs w:val="24"/>
            </w:rPr>
            <w:fldChar w:fldCharType="separate"/>
          </w:r>
          <w:r w:rsidR="00962F7A">
            <w:rPr>
              <w:rFonts w:ascii="Times New Roman" w:eastAsia="Times New Roman" w:hAnsi="Times New Roman" w:cs="Times New Roman"/>
              <w:noProof/>
              <w:color w:val="000000" w:themeColor="text1"/>
              <w:sz w:val="24"/>
              <w:szCs w:val="24"/>
            </w:rPr>
            <w:t xml:space="preserve"> </w:t>
          </w:r>
          <w:r w:rsidR="00962F7A" w:rsidRPr="00962F7A">
            <w:rPr>
              <w:rFonts w:ascii="Times New Roman" w:eastAsia="Times New Roman" w:hAnsi="Times New Roman" w:cs="Times New Roman"/>
              <w:noProof/>
              <w:color w:val="000000" w:themeColor="text1"/>
              <w:sz w:val="24"/>
              <w:szCs w:val="24"/>
            </w:rPr>
            <w:t>(Superintencencia de Seguros de la Nación, 2023)</w:t>
          </w:r>
          <w:r w:rsidR="00FF349E" w:rsidRPr="00FF349E">
            <w:rPr>
              <w:rFonts w:ascii="Times New Roman" w:eastAsia="Times New Roman" w:hAnsi="Times New Roman" w:cs="Times New Roman"/>
              <w:color w:val="000000" w:themeColor="text1"/>
              <w:sz w:val="24"/>
              <w:szCs w:val="24"/>
            </w:rPr>
            <w:fldChar w:fldCharType="end"/>
          </w:r>
        </w:sdtContent>
      </w:sdt>
      <w:r w:rsidRPr="00EA4C1F">
        <w:rPr>
          <w:rFonts w:ascii="Times New Roman" w:eastAsia="Times New Roman" w:hAnsi="Times New Roman" w:cs="Times New Roman"/>
          <w:sz w:val="24"/>
          <w:szCs w:val="24"/>
        </w:rPr>
        <w:t xml:space="preserve">, la cual, con el objetivo de la correcta medición del riesgo de siniestro para el ramo </w:t>
      </w:r>
      <w:r w:rsidRPr="00EA4C1F">
        <w:rPr>
          <w:rFonts w:ascii="Times New Roman" w:eastAsia="Times New Roman" w:hAnsi="Times New Roman" w:cs="Times New Roman"/>
          <w:sz w:val="24"/>
          <w:szCs w:val="24"/>
        </w:rPr>
        <w:lastRenderedPageBreak/>
        <w:t xml:space="preserve">Automotor, Responsabilidad Civil </w:t>
      </w:r>
      <w:r w:rsidR="00801C13">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RC Auto</w:t>
      </w:r>
      <w:r w:rsidR="00801C13">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 xml:space="preserve">, argumenta por la aplicación de la Tasa FACPCE </w:t>
      </w:r>
      <w:r w:rsidRPr="00801C13">
        <w:rPr>
          <w:rFonts w:ascii="Times New Roman" w:eastAsia="Times New Roman" w:hAnsi="Times New Roman" w:cs="Times New Roman"/>
          <w:color w:val="000000" w:themeColor="text1"/>
          <w:sz w:val="24"/>
          <w:szCs w:val="24"/>
        </w:rPr>
        <w:t>(</w:t>
      </w:r>
      <w:r w:rsidR="00801C13" w:rsidRPr="00801C13">
        <w:rPr>
          <w:rFonts w:ascii="Times New Roman" w:eastAsia="Times New Roman" w:hAnsi="Times New Roman" w:cs="Times New Roman"/>
          <w:color w:val="000000" w:themeColor="text1"/>
          <w:sz w:val="24"/>
          <w:szCs w:val="24"/>
        </w:rPr>
        <w:t>R</w:t>
      </w:r>
      <w:r w:rsidRPr="00801C13">
        <w:rPr>
          <w:rFonts w:ascii="Times New Roman" w:eastAsia="Times New Roman" w:hAnsi="Times New Roman" w:cs="Times New Roman"/>
          <w:color w:val="000000" w:themeColor="text1"/>
          <w:sz w:val="24"/>
          <w:szCs w:val="24"/>
        </w:rPr>
        <w:t>esolución 539/18</w:t>
      </w:r>
      <w:r w:rsidR="00801C13" w:rsidRPr="00801C13">
        <w:rPr>
          <w:rFonts w:ascii="Times New Roman" w:eastAsia="Times New Roman" w:hAnsi="Times New Roman" w:cs="Times New Roman"/>
          <w:noProof/>
          <w:color w:val="000000" w:themeColor="text1"/>
          <w:sz w:val="24"/>
          <w:szCs w:val="24"/>
        </w:rPr>
        <w:t>, Federación Argentina de Consejos Profesionales de Ciencias Económicas, 2018)</w:t>
      </w:r>
      <w:r w:rsidRPr="00801C13">
        <w:rPr>
          <w:rFonts w:ascii="Times New Roman" w:eastAsia="Times New Roman" w:hAnsi="Times New Roman" w:cs="Times New Roman"/>
          <w:color w:val="000000" w:themeColor="text1"/>
          <w:sz w:val="24"/>
          <w:szCs w:val="24"/>
        </w:rPr>
        <w:t xml:space="preserve"> </w:t>
      </w:r>
      <w:r w:rsidRPr="00EA4C1F">
        <w:rPr>
          <w:rFonts w:ascii="Times New Roman" w:eastAsia="Times New Roman" w:hAnsi="Times New Roman" w:cs="Times New Roman"/>
          <w:sz w:val="24"/>
          <w:szCs w:val="24"/>
        </w:rPr>
        <w:t xml:space="preserve">a los montos de siniestros al momento del cálculo, así como la anulación de montos de IBNR negativos por año de ocurrencia. </w:t>
      </w:r>
    </w:p>
    <w:p w14:paraId="00000059" w14:textId="57CE8127" w:rsidR="00E6009A" w:rsidRPr="00EA4C1F" w:rsidRDefault="008E31FE" w:rsidP="00EA4C1F">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surge en un contexto</w:t>
      </w:r>
      <w:r w:rsidR="003D5A43">
        <w:rPr>
          <w:rFonts w:ascii="Times New Roman" w:eastAsia="Times New Roman" w:hAnsi="Times New Roman" w:cs="Times New Roman"/>
          <w:sz w:val="24"/>
          <w:szCs w:val="24"/>
        </w:rPr>
        <w:t xml:space="preserve"> macroeconómico complejo donde, la SSN a través del</w:t>
      </w:r>
      <w:r w:rsidRPr="00EA4C1F">
        <w:rPr>
          <w:rFonts w:ascii="Times New Roman" w:eastAsia="Times New Roman" w:hAnsi="Times New Roman" w:cs="Times New Roman"/>
          <w:sz w:val="24"/>
          <w:szCs w:val="24"/>
        </w:rPr>
        <w:t xml:space="preserve"> RGAA </w:t>
      </w:r>
      <w:r>
        <w:rPr>
          <w:rFonts w:ascii="Times New Roman" w:eastAsia="Times New Roman" w:hAnsi="Times New Roman" w:cs="Times New Roman"/>
          <w:sz w:val="24"/>
          <w:szCs w:val="24"/>
        </w:rPr>
        <w:t xml:space="preserve">propone </w:t>
      </w:r>
      <w:r w:rsidRPr="00EA4C1F">
        <w:rPr>
          <w:rFonts w:ascii="Times New Roman" w:eastAsia="Times New Roman" w:hAnsi="Times New Roman" w:cs="Times New Roman"/>
          <w:sz w:val="24"/>
          <w:szCs w:val="24"/>
        </w:rPr>
        <w:t>un modelo basado en técnicas determinísticas que, si bien son sencillas y transparentes, presenta</w:t>
      </w:r>
      <w:r w:rsidR="003D5A43">
        <w:rPr>
          <w:rFonts w:ascii="Times New Roman" w:eastAsia="Times New Roman" w:hAnsi="Times New Roman" w:cs="Times New Roman"/>
          <w:sz w:val="24"/>
          <w:szCs w:val="24"/>
        </w:rPr>
        <w:t>n ciertas</w:t>
      </w:r>
      <w:r w:rsidRPr="00EA4C1F">
        <w:rPr>
          <w:rFonts w:ascii="Times New Roman" w:eastAsia="Times New Roman" w:hAnsi="Times New Roman" w:cs="Times New Roman"/>
          <w:sz w:val="24"/>
          <w:szCs w:val="24"/>
        </w:rPr>
        <w:t xml:space="preserve"> limitaciones</w:t>
      </w:r>
      <w:r w:rsidR="003D5A43">
        <w:rPr>
          <w:rFonts w:ascii="Times New Roman" w:eastAsia="Times New Roman" w:hAnsi="Times New Roman" w:cs="Times New Roman"/>
          <w:sz w:val="24"/>
          <w:szCs w:val="24"/>
        </w:rPr>
        <w:t>. Un ejemplo de esto es la</w:t>
      </w:r>
      <w:r w:rsidRPr="00EA4C1F">
        <w:rPr>
          <w:rFonts w:ascii="Times New Roman" w:eastAsia="Times New Roman" w:hAnsi="Times New Roman" w:cs="Times New Roman"/>
          <w:sz w:val="24"/>
          <w:szCs w:val="24"/>
        </w:rPr>
        <w:t xml:space="preserve"> cuantifica</w:t>
      </w:r>
      <w:r w:rsidR="003D5A43">
        <w:rPr>
          <w:rFonts w:ascii="Times New Roman" w:eastAsia="Times New Roman" w:hAnsi="Times New Roman" w:cs="Times New Roman"/>
          <w:sz w:val="24"/>
          <w:szCs w:val="24"/>
        </w:rPr>
        <w:t>ción de</w:t>
      </w:r>
      <w:r w:rsidRPr="00EA4C1F">
        <w:rPr>
          <w:rFonts w:ascii="Times New Roman" w:eastAsia="Times New Roman" w:hAnsi="Times New Roman" w:cs="Times New Roman"/>
          <w:sz w:val="24"/>
          <w:szCs w:val="24"/>
        </w:rPr>
        <w:t xml:space="preserve"> la incertidumbre,</w:t>
      </w:r>
      <w:r w:rsidR="003D5A43">
        <w:rPr>
          <w:rFonts w:ascii="Times New Roman" w:eastAsia="Times New Roman" w:hAnsi="Times New Roman" w:cs="Times New Roman"/>
          <w:sz w:val="24"/>
          <w:szCs w:val="24"/>
        </w:rPr>
        <w:t xml:space="preserve"> la cual,</w:t>
      </w:r>
      <w:r w:rsidRPr="00EA4C1F">
        <w:rPr>
          <w:rFonts w:ascii="Times New Roman" w:eastAsia="Times New Roman" w:hAnsi="Times New Roman" w:cs="Times New Roman"/>
          <w:sz w:val="24"/>
          <w:szCs w:val="24"/>
        </w:rPr>
        <w:t xml:space="preserve"> depende fuertemente de la estabilidad histórica </w:t>
      </w:r>
      <w:r w:rsidR="003D5A43">
        <w:rPr>
          <w:rFonts w:ascii="Times New Roman" w:eastAsia="Times New Roman" w:hAnsi="Times New Roman" w:cs="Times New Roman"/>
          <w:sz w:val="24"/>
          <w:szCs w:val="24"/>
        </w:rPr>
        <w:t xml:space="preserve">y poca variabilidad en los datos. </w:t>
      </w:r>
      <w:r w:rsidR="0060213D">
        <w:rPr>
          <w:rFonts w:ascii="Times New Roman" w:eastAsia="Times New Roman" w:hAnsi="Times New Roman" w:cs="Times New Roman"/>
          <w:sz w:val="24"/>
          <w:szCs w:val="24"/>
        </w:rPr>
        <w:t>P</w:t>
      </w:r>
      <w:r w:rsidR="003D5A43">
        <w:rPr>
          <w:rFonts w:ascii="Times New Roman" w:eastAsia="Times New Roman" w:hAnsi="Times New Roman" w:cs="Times New Roman"/>
          <w:sz w:val="24"/>
          <w:szCs w:val="24"/>
        </w:rPr>
        <w:t>ara ramos más volátiles</w:t>
      </w:r>
      <w:r w:rsidR="0060213D">
        <w:rPr>
          <w:rFonts w:ascii="Times New Roman" w:eastAsia="Times New Roman" w:hAnsi="Times New Roman" w:cs="Times New Roman"/>
          <w:sz w:val="24"/>
          <w:szCs w:val="24"/>
        </w:rPr>
        <w:t>, no se suele cumplir, provocando que muchas veces</w:t>
      </w:r>
      <w:r w:rsidR="003D5A43">
        <w:rPr>
          <w:rFonts w:ascii="Times New Roman" w:eastAsia="Times New Roman" w:hAnsi="Times New Roman" w:cs="Times New Roman"/>
          <w:sz w:val="24"/>
          <w:szCs w:val="24"/>
        </w:rPr>
        <w:t xml:space="preserve"> no se modele adecuadamente la </w:t>
      </w:r>
      <w:r w:rsidRPr="00EA4C1F">
        <w:rPr>
          <w:rFonts w:ascii="Times New Roman" w:eastAsia="Times New Roman" w:hAnsi="Times New Roman" w:cs="Times New Roman"/>
          <w:sz w:val="24"/>
          <w:szCs w:val="24"/>
        </w:rPr>
        <w:t>dispersión inherente a los siniestros.</w:t>
      </w:r>
    </w:p>
    <w:p w14:paraId="0000005A" w14:textId="6AE8DEE8" w:rsidR="00E6009A" w:rsidRPr="00EA4C1F" w:rsidRDefault="003D5A43" w:rsidP="00EA4C1F">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EA4C1F">
        <w:rPr>
          <w:rFonts w:ascii="Times New Roman" w:eastAsia="Times New Roman" w:hAnsi="Times New Roman" w:cs="Times New Roman"/>
          <w:sz w:val="24"/>
          <w:szCs w:val="24"/>
        </w:rPr>
        <w:t xml:space="preserve"> nivel internacional, </w:t>
      </w:r>
      <w:r>
        <w:rPr>
          <w:rFonts w:ascii="Times New Roman" w:eastAsia="Times New Roman" w:hAnsi="Times New Roman" w:cs="Times New Roman"/>
          <w:sz w:val="24"/>
          <w:szCs w:val="24"/>
        </w:rPr>
        <w:t xml:space="preserve">en los últimos años, </w:t>
      </w:r>
      <w:r w:rsidR="0060213D">
        <w:rPr>
          <w:rFonts w:ascii="Times New Roman" w:eastAsia="Times New Roman" w:hAnsi="Times New Roman" w:cs="Times New Roman"/>
          <w:sz w:val="24"/>
          <w:szCs w:val="24"/>
        </w:rPr>
        <w:t xml:space="preserve">existe </w:t>
      </w:r>
      <w:r w:rsidRPr="00EA4C1F">
        <w:rPr>
          <w:rFonts w:ascii="Times New Roman" w:eastAsia="Times New Roman" w:hAnsi="Times New Roman" w:cs="Times New Roman"/>
          <w:sz w:val="24"/>
          <w:szCs w:val="24"/>
        </w:rPr>
        <w:t>una tendencia hacia la expansión de la definición de riesgo de un contrato de seguros</w:t>
      </w:r>
      <w:r w:rsidR="00A34680">
        <w:rPr>
          <w:rFonts w:ascii="Times New Roman" w:eastAsia="Times New Roman" w:hAnsi="Times New Roman" w:cs="Times New Roman"/>
          <w:sz w:val="24"/>
          <w:szCs w:val="24"/>
        </w:rPr>
        <w:t xml:space="preserve"> para una medición más efectiva del mismo. E</w:t>
      </w:r>
      <w:r w:rsidRPr="00EA4C1F">
        <w:rPr>
          <w:rFonts w:ascii="Times New Roman" w:eastAsia="Times New Roman" w:hAnsi="Times New Roman" w:cs="Times New Roman"/>
          <w:sz w:val="24"/>
          <w:szCs w:val="24"/>
        </w:rPr>
        <w:t>videnciado</w:t>
      </w:r>
      <w:r w:rsidR="00A34680">
        <w:rPr>
          <w:rFonts w:ascii="Times New Roman" w:eastAsia="Times New Roman" w:hAnsi="Times New Roman" w:cs="Times New Roman"/>
          <w:sz w:val="24"/>
          <w:szCs w:val="24"/>
        </w:rPr>
        <w:t xml:space="preserve"> principalmente</w:t>
      </w:r>
      <w:r w:rsidRPr="00EA4C1F">
        <w:rPr>
          <w:rFonts w:ascii="Times New Roman" w:eastAsia="Times New Roman" w:hAnsi="Times New Roman" w:cs="Times New Roman"/>
          <w:sz w:val="24"/>
          <w:szCs w:val="24"/>
        </w:rPr>
        <w:t xml:space="preserve"> por</w:t>
      </w:r>
      <w:r>
        <w:rPr>
          <w:rFonts w:ascii="Times New Roman" w:eastAsia="Times New Roman" w:hAnsi="Times New Roman" w:cs="Times New Roman"/>
          <w:sz w:val="24"/>
          <w:szCs w:val="24"/>
        </w:rPr>
        <w:t xml:space="preserve"> el cambio hacia </w:t>
      </w:r>
      <w:r w:rsidRPr="00EA4C1F">
        <w:rPr>
          <w:rFonts w:ascii="Times New Roman" w:eastAsia="Times New Roman" w:hAnsi="Times New Roman" w:cs="Times New Roman"/>
          <w:sz w:val="24"/>
          <w:szCs w:val="24"/>
        </w:rPr>
        <w:t>modelos estocásticos</w:t>
      </w:r>
      <w:r w:rsidR="0060213D">
        <w:rPr>
          <w:rFonts w:ascii="Times New Roman" w:eastAsia="Times New Roman" w:hAnsi="Times New Roman" w:cs="Times New Roman"/>
          <w:sz w:val="24"/>
          <w:szCs w:val="24"/>
        </w:rPr>
        <w:t xml:space="preserve"> de siniestros e</w:t>
      </w:r>
      <w:r w:rsidRPr="00EA4C1F">
        <w:rPr>
          <w:rFonts w:ascii="Times New Roman" w:eastAsia="Times New Roman" w:hAnsi="Times New Roman" w:cs="Times New Roman"/>
          <w:sz w:val="24"/>
          <w:szCs w:val="24"/>
        </w:rPr>
        <w:t xml:space="preserve"> incorporación de conceptos como valor tiempo del dinero y riesgo de flujo </w:t>
      </w:r>
      <w:r w:rsidR="0060213D">
        <w:rPr>
          <w:rFonts w:ascii="Times New Roman" w:eastAsia="Times New Roman" w:hAnsi="Times New Roman" w:cs="Times New Roman"/>
          <w:sz w:val="24"/>
          <w:szCs w:val="24"/>
        </w:rPr>
        <w:t xml:space="preserve">del seguro </w:t>
      </w:r>
      <w:r w:rsidRPr="00EA4C1F">
        <w:rPr>
          <w:rFonts w:ascii="Times New Roman" w:eastAsia="Times New Roman" w:hAnsi="Times New Roman" w:cs="Times New Roman"/>
          <w:sz w:val="24"/>
          <w:szCs w:val="24"/>
        </w:rPr>
        <w:t xml:space="preserve">(riesgos no financieros). </w:t>
      </w:r>
    </w:p>
    <w:p w14:paraId="0000005B" w14:textId="6579D85B" w:rsidR="00E6009A" w:rsidRPr="00EA4C1F" w:rsidRDefault="0060213D" w:rsidP="00EA4C1F">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EA4C1F">
        <w:rPr>
          <w:rFonts w:ascii="Times New Roman" w:eastAsia="Times New Roman" w:hAnsi="Times New Roman" w:cs="Times New Roman"/>
          <w:sz w:val="24"/>
          <w:szCs w:val="24"/>
        </w:rPr>
        <w:t>l presente trabajo tiene como objetivo evaluar si la nueva reforma es suficiente para cubrir razonablemente el riesgo</w:t>
      </w:r>
      <w:r>
        <w:rPr>
          <w:rFonts w:ascii="Times New Roman" w:eastAsia="Times New Roman" w:hAnsi="Times New Roman" w:cs="Times New Roman"/>
          <w:sz w:val="24"/>
          <w:szCs w:val="24"/>
        </w:rPr>
        <w:t xml:space="preserve"> de siniestro</w:t>
      </w:r>
      <w:r w:rsidRPr="00EA4C1F">
        <w:rPr>
          <w:rFonts w:ascii="Times New Roman" w:eastAsia="Times New Roman" w:hAnsi="Times New Roman" w:cs="Times New Roman"/>
          <w:sz w:val="24"/>
          <w:szCs w:val="24"/>
        </w:rPr>
        <w:t xml:space="preserve">, utilizando distintos métodos de estimación del IBNR aplicados al ramo de RC Auto y comparando los resultados obtenidos mediante el enfoque regulatorio </w:t>
      </w:r>
      <w:r w:rsidR="00A34680">
        <w:rPr>
          <w:rFonts w:ascii="Times New Roman" w:eastAsia="Times New Roman" w:hAnsi="Times New Roman" w:cs="Times New Roman"/>
          <w:sz w:val="24"/>
          <w:szCs w:val="24"/>
        </w:rPr>
        <w:t>del</w:t>
      </w:r>
      <w:r w:rsidRPr="00EA4C1F">
        <w:rPr>
          <w:rFonts w:ascii="Times New Roman" w:eastAsia="Times New Roman" w:hAnsi="Times New Roman" w:cs="Times New Roman"/>
          <w:sz w:val="24"/>
          <w:szCs w:val="24"/>
        </w:rPr>
        <w:t xml:space="preserve"> RGAA</w:t>
      </w:r>
      <w:sdt>
        <w:sdtPr>
          <w:rPr>
            <w:rFonts w:ascii="Times New Roman" w:eastAsia="Times New Roman" w:hAnsi="Times New Roman" w:cs="Times New Roman"/>
            <w:sz w:val="24"/>
            <w:szCs w:val="24"/>
          </w:rPr>
          <w:id w:val="-886802158"/>
          <w:citation/>
        </w:sdtPr>
        <w:sdtContent>
          <w:r w:rsidR="00A34680">
            <w:rPr>
              <w:rFonts w:ascii="Times New Roman" w:eastAsia="Times New Roman" w:hAnsi="Times New Roman" w:cs="Times New Roman"/>
              <w:sz w:val="24"/>
              <w:szCs w:val="24"/>
            </w:rPr>
            <w:fldChar w:fldCharType="begin"/>
          </w:r>
          <w:r w:rsidR="00680293">
            <w:rPr>
              <w:rFonts w:ascii="Times New Roman" w:eastAsia="Times New Roman" w:hAnsi="Times New Roman" w:cs="Times New Roman"/>
              <w:sz w:val="24"/>
              <w:szCs w:val="24"/>
            </w:rPr>
            <w:instrText xml:space="preserve">CITATION RGAA \l 1033 </w:instrText>
          </w:r>
          <w:r w:rsidR="00A34680">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A34680">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con los provenientes de modelos estocásticos congruentes con la IFRS 17</w:t>
      </w:r>
      <w:sdt>
        <w:sdtPr>
          <w:rPr>
            <w:rFonts w:ascii="Times New Roman" w:eastAsia="Times New Roman" w:hAnsi="Times New Roman" w:cs="Times New Roman"/>
            <w:sz w:val="24"/>
            <w:szCs w:val="24"/>
          </w:rPr>
          <w:id w:val="183793234"/>
          <w:citation/>
        </w:sdtPr>
        <w:sdtContent>
          <w:r w:rsidR="00A34680">
            <w:rPr>
              <w:rFonts w:ascii="Times New Roman" w:eastAsia="Times New Roman" w:hAnsi="Times New Roman" w:cs="Times New Roman"/>
              <w:sz w:val="24"/>
              <w:szCs w:val="24"/>
            </w:rPr>
            <w:fldChar w:fldCharType="begin"/>
          </w:r>
          <w:r w:rsidR="00680293">
            <w:rPr>
              <w:rFonts w:ascii="Times New Roman" w:eastAsia="Times New Roman" w:hAnsi="Times New Roman" w:cs="Times New Roman"/>
              <w:sz w:val="24"/>
              <w:szCs w:val="24"/>
            </w:rPr>
            <w:instrText xml:space="preserve">CITATION IFRS17 \l 1033 </w:instrText>
          </w:r>
          <w:r w:rsidR="00A34680">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A34680">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El análisis se realizará </w:t>
      </w:r>
      <w:r w:rsidRPr="00A34680">
        <w:rPr>
          <w:rFonts w:ascii="Times New Roman" w:eastAsia="Times New Roman" w:hAnsi="Times New Roman" w:cs="Times New Roman"/>
          <w:color w:val="000000" w:themeColor="text1"/>
          <w:sz w:val="24"/>
          <w:szCs w:val="24"/>
        </w:rPr>
        <w:t xml:space="preserve">utilizando datos publicados por la SSN, ajustados </w:t>
      </w:r>
      <w:r w:rsidRPr="00EA4C1F">
        <w:rPr>
          <w:rFonts w:ascii="Times New Roman" w:eastAsia="Times New Roman" w:hAnsi="Times New Roman" w:cs="Times New Roman"/>
          <w:sz w:val="24"/>
          <w:szCs w:val="24"/>
        </w:rPr>
        <w:t>por inflación mediante el índice FACPCE, a fin de expresar todos los valores en términos reales y eliminar distorsiones nominales.</w:t>
      </w:r>
    </w:p>
    <w:p w14:paraId="0000005C" w14:textId="50FDBF9B"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 xml:space="preserve">Se busca así, analizar la consistencia y la sensibilidad del cambio metodológico considerado, identificando en qué medida </w:t>
      </w:r>
      <w:r w:rsidR="00A34680">
        <w:rPr>
          <w:rFonts w:ascii="Times New Roman" w:eastAsia="Times New Roman" w:hAnsi="Times New Roman" w:cs="Times New Roman"/>
          <w:sz w:val="24"/>
          <w:szCs w:val="24"/>
        </w:rPr>
        <w:t xml:space="preserve">el marco regulatorio internacional </w:t>
      </w:r>
      <w:r w:rsidRPr="00EA4C1F">
        <w:rPr>
          <w:rFonts w:ascii="Times New Roman" w:eastAsia="Times New Roman" w:hAnsi="Times New Roman" w:cs="Times New Roman"/>
          <w:sz w:val="24"/>
          <w:szCs w:val="24"/>
        </w:rPr>
        <w:t>aporta mejoras</w:t>
      </w:r>
      <w:r w:rsidR="00A34680">
        <w:rPr>
          <w:rFonts w:ascii="Times New Roman" w:eastAsia="Times New Roman" w:hAnsi="Times New Roman" w:cs="Times New Roman"/>
          <w:sz w:val="24"/>
          <w:szCs w:val="24"/>
        </w:rPr>
        <w:t xml:space="preserve"> o empeoramiento</w:t>
      </w:r>
      <w:r w:rsidRPr="00EA4C1F">
        <w:rPr>
          <w:rFonts w:ascii="Times New Roman" w:eastAsia="Times New Roman" w:hAnsi="Times New Roman" w:cs="Times New Roman"/>
          <w:sz w:val="24"/>
          <w:szCs w:val="24"/>
        </w:rPr>
        <w:t xml:space="preserve"> en la medición del riesgo sin perder aplicabilidad práctica en el entorno regulatorio argentino.</w:t>
      </w:r>
    </w:p>
    <w:p w14:paraId="0000005D" w14:textId="77777777" w:rsidR="00E6009A" w:rsidRPr="00EA4C1F" w:rsidRDefault="00000000" w:rsidP="00EA4C1F">
      <w:pPr>
        <w:pStyle w:val="Heading1"/>
        <w:numPr>
          <w:ilvl w:val="0"/>
          <w:numId w:val="3"/>
        </w:numPr>
      </w:pPr>
      <w:bookmarkStart w:id="4" w:name="_Toc221446725"/>
      <w:r w:rsidRPr="00EA4C1F">
        <w:t>Objetivo</w:t>
      </w:r>
      <w:bookmarkEnd w:id="4"/>
    </w:p>
    <w:p w14:paraId="0000005E" w14:textId="682EB9C5" w:rsidR="00E6009A" w:rsidRPr="00EA4C1F" w:rsidRDefault="00000000" w:rsidP="00EA4C1F">
      <w:pPr>
        <w:spacing w:after="0" w:line="480" w:lineRule="auto"/>
        <w:jc w:val="both"/>
        <w:rPr>
          <w:rFonts w:ascii="Times New Roman" w:eastAsia="Times New Roman" w:hAnsi="Times New Roman" w:cs="Times New Roman"/>
          <w:color w:val="EE0000"/>
          <w:sz w:val="24"/>
          <w:szCs w:val="24"/>
        </w:rPr>
      </w:pPr>
      <w:r w:rsidRPr="00EA4C1F">
        <w:rPr>
          <w:rFonts w:ascii="Times New Roman" w:eastAsia="Times New Roman" w:hAnsi="Times New Roman" w:cs="Times New Roman"/>
          <w:sz w:val="24"/>
          <w:szCs w:val="24"/>
        </w:rPr>
        <w:t>El objetivo de este trabajo es realizar un análisis de los cambios normativos en el cálculo de la reserva IBNR para RC Auto, impulsados en la Resolución 287/2025</w:t>
      </w:r>
      <w:sdt>
        <w:sdtPr>
          <w:rPr>
            <w:rFonts w:ascii="Times New Roman" w:eastAsia="Times New Roman" w:hAnsi="Times New Roman" w:cs="Times New Roman"/>
            <w:sz w:val="24"/>
            <w:szCs w:val="24"/>
          </w:rPr>
          <w:id w:val="-978371140"/>
          <w:citation/>
        </w:sdtPr>
        <w:sdtContent>
          <w:r w:rsidR="00A34680">
            <w:rPr>
              <w:rFonts w:ascii="Times New Roman" w:eastAsia="Times New Roman" w:hAnsi="Times New Roman" w:cs="Times New Roman"/>
              <w:sz w:val="24"/>
              <w:szCs w:val="24"/>
            </w:rPr>
            <w:fldChar w:fldCharType="begin"/>
          </w:r>
          <w:r w:rsidR="00A34680" w:rsidRPr="00A34680">
            <w:rPr>
              <w:rFonts w:ascii="Times New Roman" w:eastAsia="Times New Roman" w:hAnsi="Times New Roman" w:cs="Times New Roman"/>
              <w:sz w:val="24"/>
              <w:szCs w:val="24"/>
            </w:rPr>
            <w:instrText xml:space="preserve"> CITATION SSN1 \l 1033 </w:instrText>
          </w:r>
          <w:r w:rsidR="00A34680">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2025)</w:t>
          </w:r>
          <w:r w:rsidR="00A34680">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y contrastarlos con metodologías actuales empleadas bajo el marco de IFRS 17</w:t>
      </w:r>
      <w:sdt>
        <w:sdtPr>
          <w:rPr>
            <w:rFonts w:ascii="Times New Roman" w:eastAsia="Times New Roman" w:hAnsi="Times New Roman" w:cs="Times New Roman"/>
            <w:sz w:val="24"/>
            <w:szCs w:val="24"/>
          </w:rPr>
          <w:id w:val="-1534729140"/>
          <w:citation/>
        </w:sdtPr>
        <w:sdtContent>
          <w:r w:rsidR="00A34680">
            <w:rPr>
              <w:rFonts w:ascii="Times New Roman" w:eastAsia="Times New Roman" w:hAnsi="Times New Roman" w:cs="Times New Roman"/>
              <w:sz w:val="24"/>
              <w:szCs w:val="24"/>
            </w:rPr>
            <w:fldChar w:fldCharType="begin"/>
          </w:r>
          <w:r w:rsidR="00680293">
            <w:rPr>
              <w:rFonts w:ascii="Times New Roman" w:eastAsia="Times New Roman" w:hAnsi="Times New Roman" w:cs="Times New Roman"/>
              <w:sz w:val="24"/>
              <w:szCs w:val="24"/>
            </w:rPr>
            <w:instrText xml:space="preserve">CITATION IFRS17 \l 1033 </w:instrText>
          </w:r>
          <w:r w:rsidR="00A34680">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A34680">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w:t>
      </w:r>
    </w:p>
    <w:p w14:paraId="0000005F" w14:textId="77777777" w:rsidR="00E6009A" w:rsidRPr="00EA4C1F" w:rsidRDefault="00E6009A" w:rsidP="00EA4C1F">
      <w:pPr>
        <w:spacing w:after="0" w:line="480" w:lineRule="auto"/>
        <w:jc w:val="both"/>
        <w:rPr>
          <w:rFonts w:ascii="Times New Roman" w:eastAsia="Times New Roman" w:hAnsi="Times New Roman" w:cs="Times New Roman"/>
          <w:color w:val="EE0000"/>
          <w:sz w:val="24"/>
          <w:szCs w:val="24"/>
        </w:rPr>
      </w:pPr>
    </w:p>
    <w:p w14:paraId="00000060" w14:textId="77777777" w:rsidR="00E6009A" w:rsidRPr="00EA4C1F" w:rsidRDefault="00000000" w:rsidP="00EA4C1F">
      <w:pPr>
        <w:pStyle w:val="Heading1"/>
        <w:numPr>
          <w:ilvl w:val="0"/>
          <w:numId w:val="3"/>
        </w:numPr>
      </w:pPr>
      <w:bookmarkStart w:id="5" w:name="_Toc221446726"/>
      <w:r w:rsidRPr="00EA4C1F">
        <w:t>Hipótesis</w:t>
      </w:r>
      <w:bookmarkEnd w:id="5"/>
    </w:p>
    <w:p w14:paraId="00000061"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Los cambios en la normativa no son suficientes para calcular de manera efectiva la reserva de IBNR cuando se la compara contra un estándar internacional para RC Autos.</w:t>
      </w:r>
    </w:p>
    <w:p w14:paraId="00000062"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bookmarkStart w:id="6" w:name="_Toc221446727"/>
    <w:p w14:paraId="00000063" w14:textId="77777777" w:rsidR="00E6009A" w:rsidRPr="00EA4C1F" w:rsidRDefault="00000000" w:rsidP="00EA4C1F">
      <w:pPr>
        <w:pStyle w:val="Heading1"/>
        <w:numPr>
          <w:ilvl w:val="0"/>
          <w:numId w:val="3"/>
        </w:numPr>
      </w:pPr>
      <w:sdt>
        <w:sdtPr>
          <w:tag w:val="goog_rdk_10"/>
          <w:id w:val="-10123234"/>
        </w:sdtPr>
        <w:sdtContent/>
      </w:sdt>
      <w:r w:rsidRPr="00EA4C1F">
        <w:t>Marco Teórico</w:t>
      </w:r>
      <w:bookmarkEnd w:id="6"/>
    </w:p>
    <w:p w14:paraId="00000064" w14:textId="77777777" w:rsidR="00E6009A" w:rsidRPr="00EA4C1F" w:rsidRDefault="00000000" w:rsidP="00EA4C1F">
      <w:pPr>
        <w:pStyle w:val="Heading1"/>
        <w:numPr>
          <w:ilvl w:val="1"/>
          <w:numId w:val="3"/>
        </w:numPr>
      </w:pPr>
      <w:bookmarkStart w:id="7" w:name="_Toc221446728"/>
      <w:r w:rsidRPr="00EA4C1F">
        <w:t>Definición de seguro</w:t>
      </w:r>
      <w:bookmarkEnd w:id="7"/>
    </w:p>
    <w:p w14:paraId="00000065" w14:textId="34777540"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Según la Ley de Seguros</w:t>
      </w:r>
      <w:r w:rsidR="00680293" w:rsidRPr="00680293">
        <w:rPr>
          <w:rFonts w:ascii="Times New Roman" w:eastAsia="Times New Roman" w:hAnsi="Times New Roman" w:cs="Times New Roman"/>
          <w:noProof/>
          <w:sz w:val="24"/>
          <w:szCs w:val="24"/>
        </w:rPr>
        <w:t xml:space="preserve"> (</w:t>
      </w:r>
      <w:r w:rsidR="00680293">
        <w:rPr>
          <w:rFonts w:ascii="Times New Roman" w:eastAsia="Times New Roman" w:hAnsi="Times New Roman" w:cs="Times New Roman"/>
          <w:noProof/>
          <w:sz w:val="24"/>
          <w:szCs w:val="24"/>
        </w:rPr>
        <w:t>Ley</w:t>
      </w:r>
      <w:r w:rsidR="00680293" w:rsidRPr="00680293">
        <w:rPr>
          <w:rFonts w:ascii="Times New Roman" w:eastAsia="Times New Roman" w:hAnsi="Times New Roman" w:cs="Times New Roman"/>
          <w:noProof/>
          <w:sz w:val="24"/>
          <w:szCs w:val="24"/>
        </w:rPr>
        <w:t> Nº 17.418, 1967)</w:t>
      </w:r>
      <w:r w:rsidRPr="00EA4C1F">
        <w:rPr>
          <w:rFonts w:ascii="Times New Roman" w:eastAsia="Times New Roman" w:hAnsi="Times New Roman" w:cs="Times New Roman"/>
          <w:sz w:val="24"/>
          <w:szCs w:val="24"/>
        </w:rPr>
        <w:t>, el contrato de seguro se define como un acuerdo mediante el cual el asegurador se obliga, por medio del cobro de una prima, a indemnizar o compensar económicamente al asegurado ante la ocurrencia de un evento incierto que genere un daño o pérdida. Dicho acuerdo se formaliza en un documento denominado póliza, que establece las condiciones generales y particulares que regirán la relación contractual entre ambas partes.</w:t>
      </w:r>
    </w:p>
    <w:p w14:paraId="00000066"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El contrato de seguros presenta una serie de características que definen su naturaleza jurídica. En primer lugar, es consensual, ya que se perfecciona por el simple consentimiento de las partes. Es bilateral, ambas partes asumen obligaciones recíprocas: el asegurador cobra la prima y el asegurado mitiga el riesgo económico del evento. Es aleatorio, dado que la ocurrencia o no del evento debe ser incierta. Es oneroso, ya que ambas partes obtienen una prestación en contrapartida, de forma que no se busca el enriquecimiento a través del contrato. Por último, es de adhesión, las condiciones contractuales son fijadas por la aseguradora, quedando el asegurado en posición de aceptarlas o no en su totalidad.</w:t>
      </w:r>
    </w:p>
    <w:p w14:paraId="00000067"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cuanto a sus elementos materiales, el seguro se estructura en torno a tres principales. El primero es el interés asegurable, que representa el deseo legítimo del asegurado en que el siniestro no ocurra. El segundo es el bien asegurado, el cual se define como el objeto sobre el que recae la cobertura garantizada por el seguro. Finalmente, el contrato incluye un capital asegurado, que corresponde al valor atribuido a los bienes cubiertos por el titular del contrato y la máxima indemnización que el asegurador se compromete a pagar en caso de siniestro.</w:t>
      </w:r>
    </w:p>
    <w:p w14:paraId="00000068" w14:textId="1A9FA749"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 necesidad de definir previamente estos </w:t>
      </w:r>
      <w:r w:rsidR="00680293" w:rsidRPr="00EA4C1F">
        <w:rPr>
          <w:rFonts w:ascii="Times New Roman" w:eastAsia="Times New Roman" w:hAnsi="Times New Roman" w:cs="Times New Roman"/>
          <w:sz w:val="24"/>
          <w:szCs w:val="24"/>
        </w:rPr>
        <w:t>elementos</w:t>
      </w:r>
      <w:r w:rsidRPr="00EA4C1F">
        <w:rPr>
          <w:rFonts w:ascii="Times New Roman" w:eastAsia="Times New Roman" w:hAnsi="Times New Roman" w:cs="Times New Roman"/>
          <w:sz w:val="24"/>
          <w:szCs w:val="24"/>
        </w:rPr>
        <w:t xml:space="preserve"> genera una situación donde no hay certeza sobre el costo final del contrato para el asegurador. De esta forma</w:t>
      </w:r>
      <w:r w:rsidR="000E0986">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 xml:space="preserve"> se expone a diferentes riesgos consecuentes de la naturaleza aleatoria del contrato, como el riesgo de liquidez.</w:t>
      </w:r>
      <w:r w:rsidR="000E0986">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Para solventar esto, las aseguradoras mantienen reservas técnicas con estimaciones sobre sus costos esperados y a los servicios contratados que aún no brindaron, exhibidas en sus Estados Contables como parte del Pasivo.</w:t>
      </w:r>
    </w:p>
    <w:p w14:paraId="00000069" w14:textId="178A5596" w:rsidR="00E6009A" w:rsidRPr="00EA4C1F" w:rsidRDefault="00000000" w:rsidP="00EA4C1F">
      <w:pPr>
        <w:spacing w:after="0" w:line="480" w:lineRule="auto"/>
        <w:jc w:val="both"/>
        <w:rPr>
          <w:rFonts w:ascii="Times New Roman" w:eastAsia="Times New Roman" w:hAnsi="Times New Roman" w:cs="Times New Roman"/>
          <w:sz w:val="24"/>
          <w:szCs w:val="24"/>
        </w:rPr>
      </w:pPr>
      <w:sdt>
        <w:sdtPr>
          <w:rPr>
            <w:rFonts w:ascii="Times New Roman" w:hAnsi="Times New Roman" w:cs="Times New Roman"/>
          </w:rPr>
          <w:tag w:val="goog_rdk_11"/>
          <w:id w:val="-1522549499"/>
        </w:sdtPr>
        <w:sdtContent/>
      </w:sdt>
      <w:r w:rsidRPr="00EA4C1F">
        <w:rPr>
          <w:rFonts w:ascii="Times New Roman" w:eastAsia="Times New Roman" w:hAnsi="Times New Roman" w:cs="Times New Roman"/>
          <w:sz w:val="24"/>
          <w:szCs w:val="24"/>
        </w:rPr>
        <w:t xml:space="preserve">El seguro analizado en este </w:t>
      </w:r>
      <w:r w:rsidR="000E0986" w:rsidRPr="00EA4C1F">
        <w:rPr>
          <w:rFonts w:ascii="Times New Roman" w:eastAsia="Times New Roman" w:hAnsi="Times New Roman" w:cs="Times New Roman"/>
          <w:sz w:val="24"/>
          <w:szCs w:val="24"/>
        </w:rPr>
        <w:t>trabajo</w:t>
      </w:r>
      <w:r w:rsidRPr="00EA4C1F">
        <w:rPr>
          <w:rFonts w:ascii="Times New Roman" w:eastAsia="Times New Roman" w:hAnsi="Times New Roman" w:cs="Times New Roman"/>
          <w:sz w:val="24"/>
          <w:szCs w:val="24"/>
        </w:rPr>
        <w:t xml:space="preserve"> es el seguro de RC Auto. El mismo es obligatorio en Argentina</w:t>
      </w:r>
      <w:r w:rsidR="000E0986" w:rsidRPr="000E0986">
        <w:rPr>
          <w:rFonts w:ascii="Times New Roman" w:eastAsia="Times New Roman" w:hAnsi="Times New Roman" w:cs="Times New Roman"/>
          <w:noProof/>
          <w:sz w:val="24"/>
          <w:szCs w:val="24"/>
          <w:vertAlign w:val="superscript"/>
        </w:rPr>
        <w:t xml:space="preserve"> </w:t>
      </w:r>
      <w:r w:rsidR="000E0986" w:rsidRPr="000E0986">
        <w:rPr>
          <w:rFonts w:ascii="Times New Roman" w:eastAsia="Times New Roman" w:hAnsi="Times New Roman" w:cs="Times New Roman"/>
          <w:noProof/>
          <w:sz w:val="24"/>
          <w:szCs w:val="24"/>
        </w:rPr>
        <w:t>(Ley Nº 24.449, 1994)</w:t>
      </w:r>
      <w:r w:rsidRPr="00EA4C1F">
        <w:rPr>
          <w:rFonts w:ascii="Times New Roman" w:eastAsia="Times New Roman" w:hAnsi="Times New Roman" w:cs="Times New Roman"/>
          <w:sz w:val="24"/>
          <w:szCs w:val="24"/>
        </w:rPr>
        <w:t xml:space="preserve"> y tiene como objeto, cubrir al asegurado de daños ocasionados a terceras personas o sus bienes por el auto del asegurado, producto de un evento repentino como un </w:t>
      </w:r>
      <w:r w:rsidRPr="00EA4C1F">
        <w:rPr>
          <w:rFonts w:ascii="Times New Roman" w:eastAsia="Times New Roman" w:hAnsi="Times New Roman" w:cs="Times New Roman"/>
          <w:sz w:val="24"/>
          <w:szCs w:val="24"/>
        </w:rPr>
        <w:lastRenderedPageBreak/>
        <w:t>accidente automovilístico. Dicho esto, el seguro no cubre gastos médicos ni daños al vehículo del tomador del seguro.</w:t>
      </w:r>
    </w:p>
    <w:p w14:paraId="0000006A" w14:textId="6A418626"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Existen dos clases de seguros de RC Auto. La primera, es la cobertura Responsabilidad Civil de lesiones personales, que tiene por objeto cubrir los siguientes conceptos: gastos médicos o funerarios; pérdida de ingresos y honorarios legales, resultado de un accidente por culpa del asegurado. Por otro lado, la cobertura de Responsabilidad Civil de </w:t>
      </w:r>
      <w:r w:rsidR="000E0986" w:rsidRPr="00EA4C1F">
        <w:rPr>
          <w:rFonts w:ascii="Times New Roman" w:eastAsia="Times New Roman" w:hAnsi="Times New Roman" w:cs="Times New Roman"/>
          <w:sz w:val="24"/>
          <w:szCs w:val="24"/>
        </w:rPr>
        <w:t>Daños</w:t>
      </w:r>
      <w:r w:rsidRPr="00EA4C1F">
        <w:rPr>
          <w:rFonts w:ascii="Times New Roman" w:eastAsia="Times New Roman" w:hAnsi="Times New Roman" w:cs="Times New Roman"/>
          <w:sz w:val="24"/>
          <w:szCs w:val="24"/>
        </w:rPr>
        <w:t xml:space="preserve"> se centra en la protección del patrimonio del asegurado ante costos de reparación de daños a la propiedad de otra persona, producto de un accidente por culpa del asegurado.</w:t>
      </w:r>
    </w:p>
    <w:p w14:paraId="0000006B"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p w14:paraId="0000006C"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bookmarkStart w:id="8" w:name="_Toc221446729"/>
    <w:p w14:paraId="0000006D" w14:textId="77777777" w:rsidR="00E6009A" w:rsidRPr="00EA4C1F" w:rsidRDefault="00000000" w:rsidP="00EA4C1F">
      <w:pPr>
        <w:pStyle w:val="Heading2"/>
        <w:numPr>
          <w:ilvl w:val="1"/>
          <w:numId w:val="3"/>
        </w:numPr>
        <w:spacing w:after="0" w:line="480" w:lineRule="auto"/>
        <w:jc w:val="both"/>
        <w:rPr>
          <w:rFonts w:ascii="Times New Roman" w:eastAsia="Times New Roman" w:hAnsi="Times New Roman" w:cs="Times New Roman"/>
        </w:rPr>
      </w:pPr>
      <w:sdt>
        <w:sdtPr>
          <w:rPr>
            <w:rFonts w:ascii="Times New Roman" w:hAnsi="Times New Roman" w:cs="Times New Roman"/>
          </w:rPr>
          <w:tag w:val="goog_rdk_12"/>
          <w:id w:val="-703250795"/>
        </w:sdtPr>
        <w:sdtContent/>
      </w:sdt>
      <w:r w:rsidRPr="00EA4C1F">
        <w:rPr>
          <w:rFonts w:ascii="Times New Roman" w:eastAsia="Times New Roman" w:hAnsi="Times New Roman" w:cs="Times New Roman"/>
        </w:rPr>
        <w:t>Reservas técnicas</w:t>
      </w:r>
      <w:bookmarkEnd w:id="8"/>
    </w:p>
    <w:p w14:paraId="0000006E"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Las reservas técnicas son pasivos que las aseguradoras constituyen para reflejar las obligaciones económicas derivadas de los siniestros asociados a las pólizas vigentes</w:t>
      </w:r>
      <w:r w:rsidRPr="00EA4C1F">
        <w:rPr>
          <w:rFonts w:ascii="Times New Roman" w:eastAsia="Times New Roman" w:hAnsi="Times New Roman" w:cs="Times New Roman"/>
        </w:rPr>
        <w:t xml:space="preserve">. </w:t>
      </w:r>
      <w:r w:rsidRPr="00EA4C1F">
        <w:rPr>
          <w:rFonts w:ascii="Times New Roman" w:eastAsia="Times New Roman" w:hAnsi="Times New Roman" w:cs="Times New Roman"/>
          <w:sz w:val="24"/>
          <w:szCs w:val="24"/>
        </w:rPr>
        <w:t xml:space="preserve">Existen dos grandes grupos: las reservas de prima y las reservas de siniestro. La primera corresponde a compromisos técnicos por el riesgo a futuro, mientras que, la segunda se centra en obligaciones (siniestros) pendientes a resarcir, cuyo monto final aún se desconoce. </w:t>
      </w:r>
    </w:p>
    <w:p w14:paraId="0000006F"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Específicamente, las reservas de prima están comprendidas por los siguientes conceptos: la reserva técnica por insuficiencia de primas, que engloba las estimaciones de desvíos siniestrales a futuro, las reservas de riesgos en curso y reserva matemática, que derivan del servicio vendido de cobertura del riesgo aún no ha sido brindado. </w:t>
      </w:r>
    </w:p>
    <w:p w14:paraId="00000070" w14:textId="7F74E69F"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Las reservas de siniestros incluyen todos los costos incurridos sobre aquellos siniestros que han sido </w:t>
      </w:r>
      <w:r w:rsidR="000E0986" w:rsidRPr="00EA4C1F">
        <w:rPr>
          <w:rFonts w:ascii="Times New Roman" w:eastAsia="Times New Roman" w:hAnsi="Times New Roman" w:cs="Times New Roman"/>
          <w:sz w:val="24"/>
          <w:szCs w:val="24"/>
        </w:rPr>
        <w:t>reportados,</w:t>
      </w:r>
      <w:r w:rsidRPr="00EA4C1F">
        <w:rPr>
          <w:rFonts w:ascii="Times New Roman" w:eastAsia="Times New Roman" w:hAnsi="Times New Roman" w:cs="Times New Roman"/>
          <w:sz w:val="24"/>
          <w:szCs w:val="24"/>
        </w:rPr>
        <w:t xml:space="preserve"> pero no pagados completamente. Se pueden separar en dos grandes grupos: Reserva de Siniestros IBNR y Reserva de Siniestros Pendientes (de ahora en más, RSP). Su </w:t>
      </w:r>
      <w:r w:rsidRPr="00EA4C1F">
        <w:rPr>
          <w:rFonts w:ascii="Times New Roman" w:eastAsia="Times New Roman" w:hAnsi="Times New Roman" w:cs="Times New Roman"/>
          <w:sz w:val="24"/>
          <w:szCs w:val="24"/>
        </w:rPr>
        <w:lastRenderedPageBreak/>
        <w:t xml:space="preserve">principal diferencia es el estado del reclamo. El primer grupo corresponde a los siniestros que se estima ocurrieron, pero aún no se ha solicitado la cobertura </w:t>
      </w:r>
      <w:r w:rsidR="000E0986" w:rsidRPr="00EA4C1F">
        <w:rPr>
          <w:rFonts w:ascii="Times New Roman" w:eastAsia="Times New Roman" w:hAnsi="Times New Roman" w:cs="Times New Roman"/>
          <w:sz w:val="24"/>
          <w:szCs w:val="24"/>
        </w:rPr>
        <w:t>de este</w:t>
      </w:r>
      <w:r w:rsidRPr="00EA4C1F">
        <w:rPr>
          <w:rFonts w:ascii="Times New Roman" w:eastAsia="Times New Roman" w:hAnsi="Times New Roman" w:cs="Times New Roman"/>
          <w:sz w:val="24"/>
          <w:szCs w:val="24"/>
        </w:rPr>
        <w:t xml:space="preserve">. Está compuesto, a su vez, por dos partes esenciales: Siniestros IBNR Puro y Siniestros </w:t>
      </w:r>
      <w:r w:rsidR="000E0986" w:rsidRPr="00EA4C1F">
        <w:rPr>
          <w:rFonts w:ascii="Times New Roman" w:eastAsia="Times New Roman" w:hAnsi="Times New Roman" w:cs="Times New Roman"/>
          <w:sz w:val="24"/>
          <w:szCs w:val="24"/>
        </w:rPr>
        <w:t>incurridos,</w:t>
      </w:r>
      <w:r w:rsidRPr="00EA4C1F">
        <w:rPr>
          <w:rFonts w:ascii="Times New Roman" w:eastAsia="Times New Roman" w:hAnsi="Times New Roman" w:cs="Times New Roman"/>
          <w:sz w:val="24"/>
          <w:szCs w:val="24"/>
        </w:rPr>
        <w:t xml:space="preserve"> pero no suficientemente reportados (de ahora en más, IBNER). El IBNR Puro corresponde a la reserva de la variación de siniestros que </w:t>
      </w:r>
      <w:r w:rsidR="000E0986" w:rsidRPr="00EA4C1F">
        <w:rPr>
          <w:rFonts w:ascii="Times New Roman" w:eastAsia="Times New Roman" w:hAnsi="Times New Roman" w:cs="Times New Roman"/>
          <w:sz w:val="24"/>
          <w:szCs w:val="24"/>
        </w:rPr>
        <w:t>ocurrieron,</w:t>
      </w:r>
      <w:r w:rsidRPr="00EA4C1F">
        <w:rPr>
          <w:rFonts w:ascii="Times New Roman" w:eastAsia="Times New Roman" w:hAnsi="Times New Roman" w:cs="Times New Roman"/>
          <w:sz w:val="24"/>
          <w:szCs w:val="24"/>
        </w:rPr>
        <w:t xml:space="preserve"> pero no se reportaron, mientras que el IBNER cubre la variación de RSP del mismo.</w:t>
      </w:r>
    </w:p>
    <w:p w14:paraId="00000071" w14:textId="0994EFAD"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Un siniestro requiere una RSP luego de reportado y pasa a estar “Pendiente de Liquidación” o “Pendiente de Pago”. El primero ocurre si todavía no se conoce la totalidad de la indemnización, mientras que el segundo ocurre cuando se conoce la </w:t>
      </w:r>
      <w:r w:rsidR="000E0986" w:rsidRPr="00EA4C1F">
        <w:rPr>
          <w:rFonts w:ascii="Times New Roman" w:eastAsia="Times New Roman" w:hAnsi="Times New Roman" w:cs="Times New Roman"/>
          <w:sz w:val="24"/>
          <w:szCs w:val="24"/>
        </w:rPr>
        <w:t>indemnización,</w:t>
      </w:r>
      <w:r w:rsidRPr="00EA4C1F">
        <w:rPr>
          <w:rFonts w:ascii="Times New Roman" w:eastAsia="Times New Roman" w:hAnsi="Times New Roman" w:cs="Times New Roman"/>
          <w:sz w:val="24"/>
          <w:szCs w:val="24"/>
        </w:rPr>
        <w:t xml:space="preserve"> pero no se llegó a la fecha estimada del pago. Adicionalmente, existe una reserva de siniestro que afecta ambos momentos del proceso del seguro. Esta es la reserva de gastos de liquidación y comprende una estimación de todos los gastos asociados a la liquidación y pago del siniestro, como los ajustes de siniestro o los salarios de los empleados encargados de llevar a cabo el proceso. </w:t>
      </w:r>
    </w:p>
    <w:p w14:paraId="00000072" w14:textId="77777777" w:rsidR="00E6009A" w:rsidRPr="00EA4C1F" w:rsidRDefault="00000000" w:rsidP="00EA4C1F">
      <w:pPr>
        <w:pStyle w:val="Heading2"/>
        <w:numPr>
          <w:ilvl w:val="1"/>
          <w:numId w:val="3"/>
        </w:numPr>
        <w:spacing w:after="0" w:line="480" w:lineRule="auto"/>
        <w:jc w:val="both"/>
        <w:rPr>
          <w:rFonts w:ascii="Times New Roman" w:eastAsia="Times New Roman" w:hAnsi="Times New Roman" w:cs="Times New Roman"/>
        </w:rPr>
      </w:pPr>
      <w:bookmarkStart w:id="9" w:name="_Toc221446730"/>
      <w:r w:rsidRPr="00EA4C1F">
        <w:rPr>
          <w:rFonts w:ascii="Times New Roman" w:eastAsia="Times New Roman" w:hAnsi="Times New Roman" w:cs="Times New Roman"/>
        </w:rPr>
        <w:t>Situación Actual del Mercado Asegurador</w:t>
      </w:r>
      <w:bookmarkEnd w:id="9"/>
    </w:p>
    <w:p w14:paraId="00000073" w14:textId="766810A2"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Actualmente,</w:t>
      </w:r>
      <w:r w:rsidRPr="00EA4C1F">
        <w:rPr>
          <w:rFonts w:ascii="Times New Roman" w:eastAsia="Times New Roman" w:hAnsi="Times New Roman" w:cs="Times New Roman"/>
          <w:color w:val="FF0000"/>
          <w:sz w:val="24"/>
          <w:szCs w:val="24"/>
        </w:rPr>
        <w:t xml:space="preserve"> </w:t>
      </w:r>
      <w:r w:rsidRPr="00EA4C1F">
        <w:rPr>
          <w:rFonts w:ascii="Times New Roman" w:eastAsia="Times New Roman" w:hAnsi="Times New Roman" w:cs="Times New Roman"/>
          <w:sz w:val="24"/>
          <w:szCs w:val="24"/>
        </w:rPr>
        <w:t>el mercado asegurador argentino atraviesa un contexto caracterizado por alta inflación, presión sobre los márgenes técnicos y necesidad de actualización normativa. La dinámica macroeconómica del país, con tasas anuales de inflación superiores al 200%, generó un entorno complejo para la administración de pasivos a largo plazo, entre ell</w:t>
      </w:r>
      <w:r w:rsidR="00A32379">
        <w:rPr>
          <w:rFonts w:ascii="Times New Roman" w:eastAsia="Times New Roman" w:hAnsi="Times New Roman" w:cs="Times New Roman"/>
          <w:sz w:val="24"/>
          <w:szCs w:val="24"/>
        </w:rPr>
        <w:t>o</w:t>
      </w:r>
      <w:r w:rsidRPr="00EA4C1F">
        <w:rPr>
          <w:rFonts w:ascii="Times New Roman" w:eastAsia="Times New Roman" w:hAnsi="Times New Roman" w:cs="Times New Roman"/>
          <w:sz w:val="24"/>
          <w:szCs w:val="24"/>
        </w:rPr>
        <w:t xml:space="preserve">s, la valuación de reservas </w:t>
      </w:r>
      <w:r w:rsidR="00A32379" w:rsidRPr="00EA4C1F">
        <w:rPr>
          <w:rFonts w:ascii="Times New Roman" w:eastAsia="Times New Roman" w:hAnsi="Times New Roman" w:cs="Times New Roman"/>
          <w:sz w:val="24"/>
          <w:szCs w:val="24"/>
        </w:rPr>
        <w:t>y,</w:t>
      </w:r>
      <w:r w:rsidRPr="00EA4C1F">
        <w:rPr>
          <w:rFonts w:ascii="Times New Roman" w:eastAsia="Times New Roman" w:hAnsi="Times New Roman" w:cs="Times New Roman"/>
          <w:sz w:val="24"/>
          <w:szCs w:val="24"/>
        </w:rPr>
        <w:t xml:space="preserve"> en consecuencia, la planificación estratégica de las entidades. </w:t>
      </w:r>
    </w:p>
    <w:p w14:paraId="00000074" w14:textId="77777777"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Gracias a esto, se desarrolla un contexto de alta competencia, donde los asegurados tienen acceso a múltiples cotizaciones y comparadores en línea, mientras que, las entidades aseguradoras se ven obligadas a mantener tarifas competitivas. En consecuencia, los márgenes técnicos se reducen y pone en riesgo a la rentabilidad estructural y la solvencia del sector. Agravando esta situación, la </w:t>
      </w:r>
      <w:r w:rsidRPr="00EA4C1F">
        <w:rPr>
          <w:rFonts w:ascii="Times New Roman" w:eastAsia="Times New Roman" w:hAnsi="Times New Roman" w:cs="Times New Roman"/>
          <w:sz w:val="24"/>
          <w:szCs w:val="24"/>
        </w:rPr>
        <w:lastRenderedPageBreak/>
        <w:t xml:space="preserve">metodología fijada por la normativa local, no está adaptada para este escenario de estancamiento de Primas y aumento del monto siniestral, resultando usualmente en subestimaciones de las pérdidas por siniestro. </w:t>
      </w:r>
    </w:p>
    <w:p w14:paraId="00000075" w14:textId="09722691"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El ramo de Automotores, uno de los principales segmentos del mercado asegurador </w:t>
      </w:r>
      <w:r w:rsidR="00A32379" w:rsidRPr="00EA4C1F">
        <w:rPr>
          <w:rFonts w:ascii="Times New Roman" w:eastAsia="Times New Roman" w:hAnsi="Times New Roman" w:cs="Times New Roman"/>
          <w:sz w:val="24"/>
          <w:szCs w:val="24"/>
        </w:rPr>
        <w:t>argentino, se</w:t>
      </w:r>
      <w:r w:rsidRPr="00EA4C1F">
        <w:rPr>
          <w:rFonts w:ascii="Times New Roman" w:eastAsia="Times New Roman" w:hAnsi="Times New Roman" w:cs="Times New Roman"/>
          <w:sz w:val="24"/>
          <w:szCs w:val="24"/>
        </w:rPr>
        <w:t xml:space="preserve"> </w:t>
      </w:r>
      <w:r w:rsidR="00A32379" w:rsidRPr="00EA4C1F">
        <w:rPr>
          <w:rFonts w:ascii="Times New Roman" w:eastAsia="Times New Roman" w:hAnsi="Times New Roman" w:cs="Times New Roman"/>
          <w:sz w:val="24"/>
          <w:szCs w:val="24"/>
        </w:rPr>
        <w:t>vio</w:t>
      </w:r>
      <w:r w:rsidRPr="00EA4C1F">
        <w:rPr>
          <w:rFonts w:ascii="Times New Roman" w:eastAsia="Times New Roman" w:hAnsi="Times New Roman" w:cs="Times New Roman"/>
          <w:sz w:val="24"/>
          <w:szCs w:val="24"/>
        </w:rPr>
        <w:t xml:space="preserve"> particularmente afectado por el contexto descrito anteriormente. Dentro de él, la cobertura de </w:t>
      </w:r>
      <w:r w:rsidR="00A32379">
        <w:rPr>
          <w:rFonts w:ascii="Times New Roman" w:eastAsia="Times New Roman" w:hAnsi="Times New Roman" w:cs="Times New Roman"/>
          <w:sz w:val="24"/>
          <w:szCs w:val="24"/>
        </w:rPr>
        <w:t>RC Auto</w:t>
      </w:r>
      <w:r w:rsidRPr="00EA4C1F">
        <w:rPr>
          <w:rFonts w:ascii="Times New Roman" w:eastAsia="Times New Roman" w:hAnsi="Times New Roman" w:cs="Times New Roman"/>
          <w:sz w:val="24"/>
          <w:szCs w:val="24"/>
        </w:rPr>
        <w:t xml:space="preserve"> presenta un comportamiento de “cola larga” dado que los siniestros requieren varios años para su liquidación definitiva. </w:t>
      </w:r>
      <w:r w:rsidR="00A32379">
        <w:rPr>
          <w:rFonts w:ascii="Times New Roman" w:eastAsia="Times New Roman" w:hAnsi="Times New Roman" w:cs="Times New Roman"/>
          <w:sz w:val="24"/>
          <w:szCs w:val="24"/>
        </w:rPr>
        <w:t>Dicha cobertura, tradicionalmente</w:t>
      </w:r>
      <w:r w:rsidRPr="00EA4C1F">
        <w:rPr>
          <w:rFonts w:ascii="Times New Roman" w:eastAsia="Times New Roman" w:hAnsi="Times New Roman" w:cs="Times New Roman"/>
          <w:sz w:val="24"/>
          <w:szCs w:val="24"/>
        </w:rPr>
        <w:t xml:space="preserve"> exhibe patrones de frecuencia y severidad estables, sin embargo, por las razones previamente detalladas, </w:t>
      </w:r>
      <w:r w:rsidR="00A32379">
        <w:rPr>
          <w:rFonts w:ascii="Times New Roman" w:eastAsia="Times New Roman" w:hAnsi="Times New Roman" w:cs="Times New Roman"/>
          <w:sz w:val="24"/>
          <w:szCs w:val="24"/>
        </w:rPr>
        <w:t>esto</w:t>
      </w:r>
      <w:r w:rsidRPr="00EA4C1F">
        <w:rPr>
          <w:rFonts w:ascii="Times New Roman" w:eastAsia="Times New Roman" w:hAnsi="Times New Roman" w:cs="Times New Roman"/>
          <w:sz w:val="24"/>
          <w:szCs w:val="24"/>
        </w:rPr>
        <w:t xml:space="preserve"> no se cumple</w:t>
      </w:r>
      <w:r w:rsidR="00A32379">
        <w:rPr>
          <w:rFonts w:ascii="Times New Roman" w:eastAsia="Times New Roman" w:hAnsi="Times New Roman" w:cs="Times New Roman"/>
          <w:sz w:val="24"/>
          <w:szCs w:val="24"/>
        </w:rPr>
        <w:t xml:space="preserve"> actualmente</w:t>
      </w:r>
      <w:r w:rsidRPr="00EA4C1F">
        <w:rPr>
          <w:rFonts w:ascii="Times New Roman" w:eastAsia="Times New Roman" w:hAnsi="Times New Roman" w:cs="Times New Roman"/>
          <w:sz w:val="24"/>
          <w:szCs w:val="24"/>
        </w:rPr>
        <w:t xml:space="preserve">. </w:t>
      </w:r>
      <w:r w:rsidR="00962F7A">
        <w:rPr>
          <w:rFonts w:ascii="Times New Roman" w:eastAsia="Times New Roman" w:hAnsi="Times New Roman" w:cs="Times New Roman"/>
          <w:sz w:val="24"/>
          <w:szCs w:val="24"/>
        </w:rPr>
        <w:t>Hoy en día</w:t>
      </w:r>
      <w:r w:rsidRPr="00EA4C1F">
        <w:rPr>
          <w:rFonts w:ascii="Times New Roman" w:eastAsia="Times New Roman" w:hAnsi="Times New Roman" w:cs="Times New Roman"/>
          <w:sz w:val="24"/>
          <w:szCs w:val="24"/>
        </w:rPr>
        <w:t>,</w:t>
      </w:r>
      <w:r w:rsidR="00962F7A">
        <w:rPr>
          <w:rFonts w:ascii="Times New Roman" w:eastAsia="Times New Roman" w:hAnsi="Times New Roman" w:cs="Times New Roman"/>
          <w:sz w:val="24"/>
          <w:szCs w:val="24"/>
        </w:rPr>
        <w:t xml:space="preserve"> se</w:t>
      </w:r>
      <w:r w:rsidRPr="00EA4C1F">
        <w:rPr>
          <w:rFonts w:ascii="Times New Roman" w:eastAsia="Times New Roman" w:hAnsi="Times New Roman" w:cs="Times New Roman"/>
          <w:sz w:val="24"/>
          <w:szCs w:val="24"/>
        </w:rPr>
        <w:t xml:space="preserve"> experimenta una clara tendencia de aumento de severidad, influido por factores como la inflación y la judicialización de los reclamos. </w:t>
      </w:r>
      <w:r w:rsidR="00A32379">
        <w:rPr>
          <w:rFonts w:ascii="Times New Roman" w:eastAsia="Times New Roman" w:hAnsi="Times New Roman" w:cs="Times New Roman"/>
          <w:sz w:val="24"/>
          <w:szCs w:val="24"/>
        </w:rPr>
        <w:t>En</w:t>
      </w:r>
      <w:r w:rsidRPr="00EA4C1F">
        <w:rPr>
          <w:rFonts w:ascii="Times New Roman" w:eastAsia="Times New Roman" w:hAnsi="Times New Roman" w:cs="Times New Roman"/>
          <w:sz w:val="24"/>
          <w:szCs w:val="24"/>
        </w:rPr>
        <w:t xml:space="preserve"> consecuencia, los triángulos de desarrollo presentan desvíos atípicos en el tiempo, especialmente en los datos más recientes, producto de shocks inflacionarios o cambios regulatorios.</w:t>
      </w:r>
    </w:p>
    <w:p w14:paraId="00000076" w14:textId="544E8BE7" w:rsidR="00E6009A" w:rsidRPr="00EA4C1F" w:rsidRDefault="0077614E" w:rsidP="00EA4C1F">
      <w:pPr>
        <w:spacing w:after="0" w:line="480" w:lineRule="auto"/>
        <w:jc w:val="both"/>
        <w:rPr>
          <w:rFonts w:ascii="Times New Roman" w:eastAsia="Times New Roman" w:hAnsi="Times New Roman" w:cs="Times New Roman"/>
          <w:sz w:val="24"/>
          <w:szCs w:val="24"/>
        </w:rPr>
      </w:pPr>
      <w:r w:rsidRPr="00962F7A">
        <w:rPr>
          <w:rFonts w:ascii="Times New Roman" w:hAnsi="Times New Roman" w:cs="Times New Roman"/>
          <w:sz w:val="24"/>
          <w:szCs w:val="24"/>
        </w:rPr>
        <w:t xml:space="preserve">Según </w:t>
      </w:r>
      <w:r w:rsidR="00962F7A" w:rsidRPr="00962F7A">
        <w:rPr>
          <w:rFonts w:ascii="Times New Roman" w:hAnsi="Times New Roman" w:cs="Times New Roman"/>
          <w:noProof/>
          <w:sz w:val="24"/>
          <w:szCs w:val="24"/>
        </w:rPr>
        <w:t>Swiss Re Institute (2024), s</w:t>
      </w:r>
      <w:r w:rsidR="00000000" w:rsidRPr="00962F7A">
        <w:rPr>
          <w:rFonts w:ascii="Times New Roman" w:eastAsia="Times New Roman" w:hAnsi="Times New Roman" w:cs="Times New Roman"/>
          <w:sz w:val="24"/>
          <w:szCs w:val="24"/>
        </w:rPr>
        <w:t xml:space="preserve">i bien en Latinoamérica también se observa un aumento leve pero sostenido en la severidad </w:t>
      </w:r>
      <w:r w:rsidR="00000000" w:rsidRPr="00EA4C1F">
        <w:rPr>
          <w:rFonts w:ascii="Times New Roman" w:eastAsia="Times New Roman" w:hAnsi="Times New Roman" w:cs="Times New Roman"/>
          <w:sz w:val="24"/>
          <w:szCs w:val="24"/>
        </w:rPr>
        <w:t>de los siniestros automotores asociado a la inflación, en varios mercados de la región, su impacto tiende a ser más moderado</w:t>
      </w:r>
      <w:r w:rsidR="00962F7A">
        <w:rPr>
          <w:rFonts w:ascii="Times New Roman" w:eastAsia="Times New Roman" w:hAnsi="Times New Roman" w:cs="Times New Roman"/>
          <w:sz w:val="24"/>
          <w:szCs w:val="24"/>
        </w:rPr>
        <w:t xml:space="preserve"> (pp. 5-12)</w:t>
      </w:r>
      <w:r w:rsidR="00000000" w:rsidRPr="00EA4C1F">
        <w:rPr>
          <w:rFonts w:ascii="Times New Roman" w:eastAsia="Times New Roman" w:hAnsi="Times New Roman" w:cs="Times New Roman"/>
          <w:sz w:val="24"/>
          <w:szCs w:val="24"/>
        </w:rPr>
        <w:t>. Esto se explica, en parte, por una mayor capacidad de ajuste tarifario y prácticas de gestión más flexibles, apoyadas en marcos más prudenciales, orientados a solvencia y estándares de trazabilidad y transparencia. En algunos casos, existe además una convergencia hacia normativas internacionales como Solvencia 2 o IFRS 17. En este contexto, los ajustes de precios y de condiciones de suscripción suelen darse con información comparable y de mejor calidad, reduciendo así, descalces que dificulten la solvencia de la compañía y ayudando a mantener patrones de pago y de liquidación relativamente más estables.</w:t>
      </w:r>
    </w:p>
    <w:p w14:paraId="00000077"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p w14:paraId="00000078" w14:textId="26D1B522"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En Argentina, estas dinámicas son más limitadas. Históricamente, la menor flexibilidad metodológica en la medición de estos patrones contribuyó a agravar el contexto del mercado asegurador argentino. Sin embargo, en estos últimos años, la SSN impulsó diversas resoluciones transitorias orientadas a modernizar la metodología de cálculo de reservas y adecuarla a las condiciones actuales del mercado. Entre ellas, la Resolución 353/2023</w:t>
      </w:r>
      <w:sdt>
        <w:sdtPr>
          <w:rPr>
            <w:rFonts w:ascii="Times New Roman" w:eastAsia="Times New Roman" w:hAnsi="Times New Roman" w:cs="Times New Roman"/>
            <w:sz w:val="24"/>
            <w:szCs w:val="24"/>
          </w:rPr>
          <w:id w:val="161904723"/>
          <w:citation/>
        </w:sdtPr>
        <w:sdtContent>
          <w:r w:rsidR="00A32379">
            <w:rPr>
              <w:rFonts w:ascii="Times New Roman" w:eastAsia="Times New Roman" w:hAnsi="Times New Roman" w:cs="Times New Roman"/>
              <w:sz w:val="24"/>
              <w:szCs w:val="24"/>
            </w:rPr>
            <w:fldChar w:fldCharType="begin"/>
          </w:r>
          <w:r w:rsidR="00A32379" w:rsidRPr="00A32379">
            <w:rPr>
              <w:rFonts w:ascii="Times New Roman" w:eastAsia="Times New Roman" w:hAnsi="Times New Roman" w:cs="Times New Roman"/>
              <w:sz w:val="24"/>
              <w:szCs w:val="24"/>
            </w:rPr>
            <w:instrText xml:space="preserve"> CITATION SSN2 \l 1033 </w:instrText>
          </w:r>
          <w:r w:rsidR="00A32379">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(Superintencencia de Seguros de la Nación, 2023)</w:t>
          </w:r>
          <w:r w:rsidR="00A32379">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introdujo ajustes metodológicos relevantes que sirvieron como base para la elaboración de un modelo más robusto. Dichos avances culminaron en la Resolución 287/2025</w:t>
      </w:r>
      <w:sdt>
        <w:sdtPr>
          <w:rPr>
            <w:rFonts w:ascii="Times New Roman" w:eastAsia="Times New Roman" w:hAnsi="Times New Roman" w:cs="Times New Roman"/>
            <w:sz w:val="24"/>
            <w:szCs w:val="24"/>
          </w:rPr>
          <w:id w:val="386763616"/>
          <w:citation/>
        </w:sdtPr>
        <w:sdtContent>
          <w:r w:rsidR="00A32379">
            <w:rPr>
              <w:rFonts w:ascii="Times New Roman" w:eastAsia="Times New Roman" w:hAnsi="Times New Roman" w:cs="Times New Roman"/>
              <w:sz w:val="24"/>
              <w:szCs w:val="24"/>
            </w:rPr>
            <w:fldChar w:fldCharType="begin"/>
          </w:r>
          <w:r w:rsidR="00A32379" w:rsidRPr="00A32379">
            <w:rPr>
              <w:rFonts w:ascii="Times New Roman" w:eastAsia="Times New Roman" w:hAnsi="Times New Roman" w:cs="Times New Roman"/>
              <w:sz w:val="24"/>
              <w:szCs w:val="24"/>
            </w:rPr>
            <w:instrText xml:space="preserve"> CITATION SSN1 \l 1033 </w:instrText>
          </w:r>
          <w:r w:rsidR="00A32379">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2025)</w:t>
          </w:r>
          <w:r w:rsidR="00A32379">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que formaliza los cambios metodológicos y consolida un nuevo esquema técnico dentro del RGAA</w:t>
      </w:r>
      <w:sdt>
        <w:sdtPr>
          <w:rPr>
            <w:rFonts w:ascii="Times New Roman" w:eastAsia="Times New Roman" w:hAnsi="Times New Roman" w:cs="Times New Roman"/>
            <w:sz w:val="24"/>
            <w:szCs w:val="24"/>
          </w:rPr>
          <w:id w:val="39719140"/>
          <w:citation/>
        </w:sdtPr>
        <w:sdtContent>
          <w:r w:rsidR="00A32379">
            <w:rPr>
              <w:rFonts w:ascii="Times New Roman" w:eastAsia="Times New Roman" w:hAnsi="Times New Roman" w:cs="Times New Roman"/>
              <w:sz w:val="24"/>
              <w:szCs w:val="24"/>
            </w:rPr>
            <w:fldChar w:fldCharType="begin"/>
          </w:r>
          <w:r w:rsidR="00A32379" w:rsidRPr="00A32379">
            <w:rPr>
              <w:rFonts w:ascii="Times New Roman" w:eastAsia="Times New Roman" w:hAnsi="Times New Roman" w:cs="Times New Roman"/>
              <w:sz w:val="24"/>
              <w:szCs w:val="24"/>
            </w:rPr>
            <w:instrText xml:space="preserve"> CITATION RGAA \l 1033 </w:instrText>
          </w:r>
          <w:r w:rsidR="00A32379">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A32379">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w:t>
      </w:r>
    </w:p>
    <w:p w14:paraId="00000079" w14:textId="77777777" w:rsidR="00E6009A" w:rsidRPr="00EA4C1F" w:rsidRDefault="00E6009A" w:rsidP="00EA4C1F">
      <w:pPr>
        <w:spacing w:after="0" w:line="480" w:lineRule="auto"/>
        <w:jc w:val="both"/>
        <w:rPr>
          <w:rFonts w:ascii="Times New Roman" w:eastAsia="Times New Roman" w:hAnsi="Times New Roman" w:cs="Times New Roman"/>
          <w:sz w:val="24"/>
          <w:szCs w:val="24"/>
        </w:rPr>
      </w:pPr>
    </w:p>
    <w:p w14:paraId="0000007A" w14:textId="77777777" w:rsidR="00E6009A" w:rsidRPr="00EA4C1F" w:rsidRDefault="00000000" w:rsidP="00EA4C1F">
      <w:pPr>
        <w:pStyle w:val="Heading2"/>
        <w:numPr>
          <w:ilvl w:val="1"/>
          <w:numId w:val="3"/>
        </w:numPr>
        <w:spacing w:after="0" w:line="480" w:lineRule="auto"/>
        <w:jc w:val="both"/>
        <w:rPr>
          <w:rFonts w:ascii="Times New Roman" w:eastAsia="Times New Roman" w:hAnsi="Times New Roman" w:cs="Times New Roman"/>
        </w:rPr>
      </w:pPr>
      <w:bookmarkStart w:id="10" w:name="_Toc221446731"/>
      <w:r w:rsidRPr="00EA4C1F">
        <w:rPr>
          <w:rFonts w:ascii="Times New Roman" w:eastAsia="Times New Roman" w:hAnsi="Times New Roman" w:cs="Times New Roman"/>
        </w:rPr>
        <w:t>Antecedentes de normativas locales</w:t>
      </w:r>
      <w:bookmarkEnd w:id="10"/>
    </w:p>
    <w:p w14:paraId="0000007B" w14:textId="77777777" w:rsidR="00E6009A" w:rsidRPr="00EA4C1F" w:rsidRDefault="00000000" w:rsidP="00EA4C1F">
      <w:pPr>
        <w:pStyle w:val="Heading3"/>
        <w:numPr>
          <w:ilvl w:val="2"/>
          <w:numId w:val="3"/>
        </w:numPr>
        <w:spacing w:before="0" w:after="0" w:line="480" w:lineRule="auto"/>
        <w:ind w:hanging="360"/>
        <w:jc w:val="both"/>
        <w:rPr>
          <w:rFonts w:ascii="Times New Roman" w:eastAsia="Times New Roman" w:hAnsi="Times New Roman" w:cs="Times New Roman"/>
        </w:rPr>
      </w:pPr>
      <w:bookmarkStart w:id="11" w:name="_Toc221446732"/>
      <w:r w:rsidRPr="00EA4C1F">
        <w:rPr>
          <w:rFonts w:ascii="Times New Roman" w:eastAsia="Times New Roman" w:hAnsi="Times New Roman" w:cs="Times New Roman"/>
        </w:rPr>
        <w:t>Resolución 287/2025</w:t>
      </w:r>
      <w:bookmarkEnd w:id="11"/>
    </w:p>
    <w:p w14:paraId="0000007C" w14:textId="186C8F8F"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 </w:t>
      </w:r>
      <w:r w:rsidRPr="00A32379">
        <w:rPr>
          <w:rFonts w:ascii="Times New Roman" w:eastAsia="Times New Roman" w:hAnsi="Times New Roman" w:cs="Times New Roman"/>
          <w:color w:val="000000" w:themeColor="text1"/>
          <w:sz w:val="24"/>
          <w:szCs w:val="24"/>
        </w:rPr>
        <w:t>Resolución 287/2025</w:t>
      </w:r>
      <w:sdt>
        <w:sdtPr>
          <w:rPr>
            <w:rFonts w:ascii="Times New Roman" w:eastAsia="Times New Roman" w:hAnsi="Times New Roman" w:cs="Times New Roman"/>
            <w:color w:val="000000" w:themeColor="text1"/>
            <w:sz w:val="24"/>
            <w:szCs w:val="24"/>
          </w:rPr>
          <w:id w:val="-480779389"/>
          <w:citation/>
        </w:sdtPr>
        <w:sdtContent>
          <w:r w:rsidR="00A32379" w:rsidRPr="00A32379">
            <w:rPr>
              <w:rFonts w:ascii="Times New Roman" w:eastAsia="Times New Roman" w:hAnsi="Times New Roman" w:cs="Times New Roman"/>
              <w:color w:val="000000" w:themeColor="text1"/>
              <w:sz w:val="24"/>
              <w:szCs w:val="24"/>
            </w:rPr>
            <w:fldChar w:fldCharType="begin"/>
          </w:r>
          <w:r w:rsidR="00A32379" w:rsidRPr="00A32379">
            <w:rPr>
              <w:rFonts w:ascii="Times New Roman" w:eastAsia="Times New Roman" w:hAnsi="Times New Roman" w:cs="Times New Roman"/>
              <w:color w:val="000000" w:themeColor="text1"/>
              <w:sz w:val="24"/>
              <w:szCs w:val="24"/>
            </w:rPr>
            <w:instrText xml:space="preserve"> CITATION SSN1 \l 1033 </w:instrText>
          </w:r>
          <w:r w:rsidR="00A32379" w:rsidRPr="00A32379">
            <w:rPr>
              <w:rFonts w:ascii="Times New Roman" w:eastAsia="Times New Roman" w:hAnsi="Times New Roman" w:cs="Times New Roman"/>
              <w:color w:val="000000" w:themeColor="text1"/>
              <w:sz w:val="24"/>
              <w:szCs w:val="24"/>
            </w:rPr>
            <w:fldChar w:fldCharType="separate"/>
          </w:r>
          <w:r w:rsidR="00962F7A">
            <w:rPr>
              <w:rFonts w:ascii="Times New Roman" w:eastAsia="Times New Roman" w:hAnsi="Times New Roman" w:cs="Times New Roman"/>
              <w:noProof/>
              <w:color w:val="000000" w:themeColor="text1"/>
              <w:sz w:val="24"/>
              <w:szCs w:val="24"/>
            </w:rPr>
            <w:t xml:space="preserve"> </w:t>
          </w:r>
          <w:r w:rsidR="00962F7A" w:rsidRPr="00962F7A">
            <w:rPr>
              <w:rFonts w:ascii="Times New Roman" w:eastAsia="Times New Roman" w:hAnsi="Times New Roman" w:cs="Times New Roman"/>
              <w:noProof/>
              <w:color w:val="000000" w:themeColor="text1"/>
              <w:sz w:val="24"/>
              <w:szCs w:val="24"/>
            </w:rPr>
            <w:t>(Superintendencia de Seguros de la Nación, 2025)</w:t>
          </w:r>
          <w:r w:rsidR="00A32379" w:rsidRPr="00A32379">
            <w:rPr>
              <w:rFonts w:ascii="Times New Roman" w:eastAsia="Times New Roman" w:hAnsi="Times New Roman" w:cs="Times New Roman"/>
              <w:color w:val="000000" w:themeColor="text1"/>
              <w:sz w:val="24"/>
              <w:szCs w:val="24"/>
            </w:rPr>
            <w:fldChar w:fldCharType="end"/>
          </w:r>
        </w:sdtContent>
      </w:sdt>
      <w:r w:rsidRPr="00EA4C1F">
        <w:rPr>
          <w:rFonts w:ascii="Times New Roman" w:eastAsia="Times New Roman" w:hAnsi="Times New Roman" w:cs="Times New Roman"/>
          <w:sz w:val="24"/>
          <w:szCs w:val="24"/>
        </w:rPr>
        <w:t xml:space="preserve">, constituye un paso significativo en la modernización del régimen de reservas del mercado asegurador argentino. Esta norma es el resultado de un proceso de revisión técnica, que incluyó propuestas, consultas </w:t>
      </w:r>
      <w:r w:rsidR="00E82F76" w:rsidRPr="00EA4C1F">
        <w:rPr>
          <w:rFonts w:ascii="Times New Roman" w:eastAsia="Times New Roman" w:hAnsi="Times New Roman" w:cs="Times New Roman"/>
          <w:sz w:val="24"/>
          <w:szCs w:val="24"/>
        </w:rPr>
        <w:t>y análisis</w:t>
      </w:r>
      <w:r w:rsidRPr="00EA4C1F">
        <w:rPr>
          <w:rFonts w:ascii="Times New Roman" w:eastAsia="Times New Roman" w:hAnsi="Times New Roman" w:cs="Times New Roman"/>
          <w:sz w:val="24"/>
          <w:szCs w:val="24"/>
        </w:rPr>
        <w:t xml:space="preserve"> conjunto con distintas entidades aseguradoras.</w:t>
      </w:r>
    </w:p>
    <w:p w14:paraId="0000007D"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Su objetivo es actualizar los criterios de estimación de reservas por siniestros, incorporando así, parámetros más representativos de la realidad económica. Entre sus principales aportes destacan: la inclusión de un factor de actualización atado a la inflación para el cálculo de IBNR, la redefinición de algunos criterios de valuación para siniestros judicializados y mayor exigencia de trazabilidad en los datos utilizados.</w:t>
      </w:r>
    </w:p>
    <w:p w14:paraId="0000007E"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De esta forma, la resolución busca fortalecer la suficiencia y transparencia de las reservas técnicas, flexibilizando la normativa local y promoviendo una gestión más prudencial y consistente del riesgo en el sistema asegurador argentino.</w:t>
      </w:r>
    </w:p>
    <w:p w14:paraId="0000007F" w14:textId="77777777" w:rsidR="00E6009A" w:rsidRPr="00EA4C1F" w:rsidRDefault="00000000" w:rsidP="00EA4C1F">
      <w:pPr>
        <w:pStyle w:val="Heading2"/>
        <w:numPr>
          <w:ilvl w:val="1"/>
          <w:numId w:val="3"/>
        </w:numPr>
        <w:spacing w:before="0" w:after="0" w:line="480" w:lineRule="auto"/>
        <w:jc w:val="both"/>
        <w:rPr>
          <w:rFonts w:ascii="Times New Roman" w:eastAsia="Times New Roman" w:hAnsi="Times New Roman" w:cs="Times New Roman"/>
        </w:rPr>
      </w:pPr>
      <w:bookmarkStart w:id="12" w:name="_Toc221446733"/>
      <w:r w:rsidRPr="00EA4C1F">
        <w:rPr>
          <w:rFonts w:ascii="Times New Roman" w:eastAsia="Times New Roman" w:hAnsi="Times New Roman" w:cs="Times New Roman"/>
        </w:rPr>
        <w:t>Antecedentes de normativas internacionales</w:t>
      </w:r>
      <w:bookmarkEnd w:id="12"/>
    </w:p>
    <w:p w14:paraId="00000080" w14:textId="25E42BBC"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el ámbito internacional, la regulación de los contratos de seguros estuvo históricamente impulsada por la necesidad de estandarizar los estados contables para mejorar su trazabilidad y comparabilidad entre países. Previamente, las aseguradoras aplicaban metodologías propias y en muchos casos incompatibles entre sí. Esto dificultó la evaluación de su situación financiera y su desempeño contra entidades de otras jurisdicciones. Ante esta situación, </w:t>
      </w:r>
      <w:r w:rsidRPr="00842834">
        <w:rPr>
          <w:rFonts w:ascii="Times New Roman" w:eastAsia="Times New Roman" w:hAnsi="Times New Roman" w:cs="Times New Roman"/>
          <w:sz w:val="24"/>
          <w:szCs w:val="24"/>
        </w:rPr>
        <w:t>l</w:t>
      </w:r>
      <w:r w:rsidR="00842834">
        <w:rPr>
          <w:rFonts w:ascii="Times New Roman" w:eastAsia="Times New Roman" w:hAnsi="Times New Roman" w:cs="Times New Roman"/>
          <w:sz w:val="24"/>
          <w:szCs w:val="24"/>
        </w:rPr>
        <w:t>o</w:t>
      </w:r>
      <w:r w:rsidRPr="00842834">
        <w:rPr>
          <w:rFonts w:ascii="Times New Roman" w:eastAsia="Times New Roman" w:hAnsi="Times New Roman" w:cs="Times New Roman"/>
          <w:sz w:val="24"/>
          <w:szCs w:val="24"/>
        </w:rPr>
        <w:t xml:space="preserve">s IFRS 4 </w:t>
      </w:r>
      <w:sdt>
        <w:sdtPr>
          <w:rPr>
            <w:rFonts w:ascii="Times New Roman" w:eastAsia="Times New Roman" w:hAnsi="Times New Roman" w:cs="Times New Roman"/>
            <w:sz w:val="24"/>
            <w:szCs w:val="24"/>
          </w:rPr>
          <w:id w:val="1530914551"/>
          <w:citation/>
        </w:sdtPr>
        <w:sdtEndPr>
          <w:rPr>
            <w:color w:val="EE0000"/>
          </w:rPr>
        </w:sdtEndPr>
        <w:sdtContent>
          <w:r w:rsidR="00842834" w:rsidRPr="00842834">
            <w:rPr>
              <w:rFonts w:ascii="Times New Roman" w:eastAsia="Times New Roman" w:hAnsi="Times New Roman" w:cs="Times New Roman"/>
              <w:sz w:val="24"/>
              <w:szCs w:val="24"/>
            </w:rPr>
            <w:fldChar w:fldCharType="begin"/>
          </w:r>
          <w:r w:rsidR="00842834">
            <w:rPr>
              <w:rFonts w:ascii="Times New Roman" w:eastAsia="Times New Roman" w:hAnsi="Times New Roman" w:cs="Times New Roman"/>
              <w:sz w:val="24"/>
              <w:szCs w:val="24"/>
            </w:rPr>
            <w:instrText xml:space="preserve">CITATION IFRS4 \l 1033 </w:instrText>
          </w:r>
          <w:r w:rsidR="00842834" w:rsidRPr="00842834">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(International Accounting Standards Board, 2004)</w:t>
          </w:r>
          <w:r w:rsidR="00842834" w:rsidRPr="00842834">
            <w:rPr>
              <w:rFonts w:ascii="Times New Roman" w:eastAsia="Times New Roman" w:hAnsi="Times New Roman" w:cs="Times New Roman"/>
              <w:sz w:val="24"/>
              <w:szCs w:val="24"/>
            </w:rPr>
            <w:fldChar w:fldCharType="end"/>
          </w:r>
        </w:sdtContent>
      </w:sdt>
      <w:r w:rsidR="00842834">
        <w:rPr>
          <w:rFonts w:ascii="Times New Roman" w:eastAsia="Times New Roman" w:hAnsi="Times New Roman" w:cs="Times New Roman"/>
          <w:color w:val="EE0000"/>
          <w:sz w:val="24"/>
          <w:szCs w:val="24"/>
        </w:rPr>
        <w:t xml:space="preserve"> </w:t>
      </w:r>
      <w:r w:rsidR="00842834" w:rsidRPr="00842834">
        <w:rPr>
          <w:rFonts w:ascii="Times New Roman" w:eastAsia="Times New Roman" w:hAnsi="Times New Roman" w:cs="Times New Roman"/>
          <w:sz w:val="24"/>
          <w:szCs w:val="24"/>
        </w:rPr>
        <w:t xml:space="preserve">fueron emitidos </w:t>
      </w:r>
      <w:r w:rsidRPr="00EA4C1F">
        <w:rPr>
          <w:rFonts w:ascii="Times New Roman" w:eastAsia="Times New Roman" w:hAnsi="Times New Roman" w:cs="Times New Roman"/>
          <w:sz w:val="24"/>
          <w:szCs w:val="24"/>
        </w:rPr>
        <w:t>como una norma transitoria, lo que permitió ordenar parcialmente el sector mientras</w:t>
      </w:r>
      <w:r w:rsidR="00842834">
        <w:rPr>
          <w:rFonts w:ascii="Times New Roman" w:eastAsia="Times New Roman" w:hAnsi="Times New Roman" w:cs="Times New Roman"/>
          <w:sz w:val="24"/>
          <w:szCs w:val="24"/>
        </w:rPr>
        <w:t xml:space="preserve"> se</w:t>
      </w:r>
      <w:r w:rsidRPr="00EA4C1F">
        <w:rPr>
          <w:rFonts w:ascii="Times New Roman" w:eastAsia="Times New Roman" w:hAnsi="Times New Roman" w:cs="Times New Roman"/>
          <w:sz w:val="24"/>
          <w:szCs w:val="24"/>
        </w:rPr>
        <w:t xml:space="preserve"> desarrollaba un marco más completo. Luego, esta norma fue reemplazada por la IFRS 17</w:t>
      </w:r>
      <w:sdt>
        <w:sdtPr>
          <w:rPr>
            <w:rFonts w:ascii="Times New Roman" w:eastAsia="Times New Roman" w:hAnsi="Times New Roman" w:cs="Times New Roman"/>
            <w:sz w:val="24"/>
            <w:szCs w:val="24"/>
          </w:rPr>
          <w:id w:val="283695558"/>
          <w:citation/>
        </w:sdtPr>
        <w:sdtContent>
          <w:r w:rsidR="00842834">
            <w:rPr>
              <w:rFonts w:ascii="Times New Roman" w:eastAsia="Times New Roman" w:hAnsi="Times New Roman" w:cs="Times New Roman"/>
              <w:sz w:val="24"/>
              <w:szCs w:val="24"/>
            </w:rPr>
            <w:fldChar w:fldCharType="begin"/>
          </w:r>
          <w:r w:rsidR="00842834" w:rsidRPr="00842834">
            <w:rPr>
              <w:rFonts w:ascii="Times New Roman" w:eastAsia="Times New Roman" w:hAnsi="Times New Roman" w:cs="Times New Roman"/>
              <w:sz w:val="24"/>
              <w:szCs w:val="24"/>
            </w:rPr>
            <w:instrText xml:space="preserve"> CITATION IFRS17 \l 1033 </w:instrText>
          </w:r>
          <w:r w:rsidR="00842834">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842834">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que establece los principios conceptuales unificados y actuales para la medición de los contratos de seguros.</w:t>
      </w:r>
    </w:p>
    <w:p w14:paraId="00000081"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Ambas normas comparten los propósitos de homogeneizar los criterios de valuación, exigir transparencia y promover un enfoque que refleje con mayor exactitud posible el riesgo que asumen las aseguradoras.</w:t>
      </w:r>
    </w:p>
    <w:p w14:paraId="00000082" w14:textId="77777777" w:rsidR="00E6009A" w:rsidRPr="00EA4C1F" w:rsidRDefault="00000000" w:rsidP="00EA4C1F">
      <w:pPr>
        <w:pStyle w:val="Heading3"/>
        <w:numPr>
          <w:ilvl w:val="2"/>
          <w:numId w:val="3"/>
        </w:numPr>
        <w:spacing w:line="480" w:lineRule="auto"/>
        <w:ind w:hanging="360"/>
        <w:jc w:val="both"/>
        <w:rPr>
          <w:rFonts w:ascii="Times New Roman" w:eastAsia="Times New Roman" w:hAnsi="Times New Roman" w:cs="Times New Roman"/>
        </w:rPr>
      </w:pPr>
      <w:bookmarkStart w:id="13" w:name="_Toc221446734"/>
      <w:r w:rsidRPr="00EA4C1F">
        <w:rPr>
          <w:rFonts w:ascii="Times New Roman" w:eastAsia="Times New Roman" w:hAnsi="Times New Roman" w:cs="Times New Roman"/>
        </w:rPr>
        <w:t>IFRS 17</w:t>
      </w:r>
      <w:bookmarkEnd w:id="13"/>
    </w:p>
    <w:p w14:paraId="00000083" w14:textId="367E5B82" w:rsidR="00E6009A" w:rsidRPr="00EA4C1F" w:rsidRDefault="00000000" w:rsidP="00EA4C1F">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norma IFRS 17</w:t>
      </w:r>
      <w:sdt>
        <w:sdtPr>
          <w:rPr>
            <w:rFonts w:ascii="Times New Roman" w:eastAsia="Times New Roman" w:hAnsi="Times New Roman" w:cs="Times New Roman"/>
            <w:sz w:val="24"/>
            <w:szCs w:val="24"/>
          </w:rPr>
          <w:id w:val="942886624"/>
          <w:citation/>
        </w:sdtPr>
        <w:sdtContent>
          <w:r w:rsidR="00842834">
            <w:rPr>
              <w:rFonts w:ascii="Times New Roman" w:eastAsia="Times New Roman" w:hAnsi="Times New Roman" w:cs="Times New Roman"/>
              <w:sz w:val="24"/>
              <w:szCs w:val="24"/>
            </w:rPr>
            <w:fldChar w:fldCharType="begin"/>
          </w:r>
          <w:r w:rsidR="00842834" w:rsidRPr="00842834">
            <w:rPr>
              <w:rFonts w:ascii="Times New Roman" w:eastAsia="Times New Roman" w:hAnsi="Times New Roman" w:cs="Times New Roman"/>
              <w:sz w:val="24"/>
              <w:szCs w:val="24"/>
            </w:rPr>
            <w:instrText xml:space="preserve"> CITATION IFRS17 \l 1033 </w:instrText>
          </w:r>
          <w:r w:rsidR="00842834">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842834">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de aplicación obligatoria desde 2023, constituye el marco contable internacional actual para la medición de los contratos de seguros. Al igual que su predecesora, no impone una metodología específica para el cálculo de reservas, sino que define principios y lineamientos que deben cumplirse independientemente del modelo actuarial elegido. Esta flexibilidad permite la aplicación de enfoques determinísticos o </w:t>
      </w:r>
      <w:r w:rsidRPr="00EA4C1F">
        <w:rPr>
          <w:rFonts w:ascii="Times New Roman" w:eastAsia="Times New Roman" w:hAnsi="Times New Roman" w:cs="Times New Roman"/>
          <w:sz w:val="24"/>
          <w:szCs w:val="24"/>
        </w:rPr>
        <w:lastRenderedPageBreak/>
        <w:t>estocásticos, siempre que los resultados sean coherentes con los criterios de medición económica exigidos por la norma.</w:t>
      </w:r>
    </w:p>
    <w:p w14:paraId="00000084" w14:textId="4A04E701"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842834">
        <w:rPr>
          <w:rFonts w:ascii="Times New Roman" w:eastAsia="Times New Roman" w:hAnsi="Times New Roman" w:cs="Times New Roman"/>
          <w:sz w:val="24"/>
          <w:szCs w:val="24"/>
          <w:lang w:val="en-US"/>
        </w:rPr>
        <w:t>La IFRS 17</w:t>
      </w:r>
      <w:sdt>
        <w:sdtPr>
          <w:rPr>
            <w:rFonts w:ascii="Times New Roman" w:eastAsia="Times New Roman" w:hAnsi="Times New Roman" w:cs="Times New Roman"/>
            <w:sz w:val="24"/>
            <w:szCs w:val="24"/>
          </w:rPr>
          <w:id w:val="-1626453491"/>
          <w:citation/>
        </w:sdtPr>
        <w:sdtContent>
          <w:r w:rsidR="00842834">
            <w:rPr>
              <w:rFonts w:ascii="Times New Roman" w:eastAsia="Times New Roman" w:hAnsi="Times New Roman" w:cs="Times New Roman"/>
              <w:sz w:val="24"/>
              <w:szCs w:val="24"/>
            </w:rPr>
            <w:fldChar w:fldCharType="begin"/>
          </w:r>
          <w:r w:rsidR="00842834">
            <w:rPr>
              <w:rFonts w:ascii="Times New Roman" w:eastAsia="Times New Roman" w:hAnsi="Times New Roman" w:cs="Times New Roman"/>
              <w:sz w:val="24"/>
              <w:szCs w:val="24"/>
              <w:lang w:val="en-US"/>
            </w:rPr>
            <w:instrText xml:space="preserve"> CITATION IFRS17 \l 1033 </w:instrText>
          </w:r>
          <w:r w:rsidR="00842834">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lang w:val="en-US"/>
            </w:rPr>
            <w:t xml:space="preserve"> </w:t>
          </w:r>
          <w:r w:rsidR="00962F7A" w:rsidRPr="00962F7A">
            <w:rPr>
              <w:rFonts w:ascii="Times New Roman" w:eastAsia="Times New Roman" w:hAnsi="Times New Roman" w:cs="Times New Roman"/>
              <w:noProof/>
              <w:sz w:val="24"/>
              <w:szCs w:val="24"/>
              <w:lang w:val="en-US"/>
            </w:rPr>
            <w:t>(International Accounting Standards Board, 2017)</w:t>
          </w:r>
          <w:r w:rsidR="00842834">
            <w:rPr>
              <w:rFonts w:ascii="Times New Roman" w:eastAsia="Times New Roman" w:hAnsi="Times New Roman" w:cs="Times New Roman"/>
              <w:sz w:val="24"/>
              <w:szCs w:val="24"/>
            </w:rPr>
            <w:fldChar w:fldCharType="end"/>
          </w:r>
        </w:sdtContent>
      </w:sdt>
      <w:r w:rsidRPr="00842834">
        <w:rPr>
          <w:rFonts w:ascii="Times New Roman" w:eastAsia="Times New Roman" w:hAnsi="Times New Roman" w:cs="Times New Roman"/>
          <w:sz w:val="24"/>
          <w:szCs w:val="24"/>
          <w:lang w:val="en-US"/>
        </w:rPr>
        <w:t xml:space="preserve"> introduce </w:t>
      </w:r>
      <w:proofErr w:type="spellStart"/>
      <w:r w:rsidRPr="00842834">
        <w:rPr>
          <w:rFonts w:ascii="Times New Roman" w:eastAsia="Times New Roman" w:hAnsi="Times New Roman" w:cs="Times New Roman"/>
          <w:sz w:val="24"/>
          <w:szCs w:val="24"/>
          <w:lang w:val="en-US"/>
        </w:rPr>
        <w:t>varias</w:t>
      </w:r>
      <w:proofErr w:type="spellEnd"/>
      <w:r w:rsidRPr="00842834">
        <w:rPr>
          <w:rFonts w:ascii="Times New Roman" w:eastAsia="Times New Roman" w:hAnsi="Times New Roman" w:cs="Times New Roman"/>
          <w:sz w:val="24"/>
          <w:szCs w:val="24"/>
          <w:lang w:val="en-US"/>
        </w:rPr>
        <w:t xml:space="preserve"> </w:t>
      </w:r>
      <w:proofErr w:type="spellStart"/>
      <w:r w:rsidRPr="00842834">
        <w:rPr>
          <w:rFonts w:ascii="Times New Roman" w:eastAsia="Times New Roman" w:hAnsi="Times New Roman" w:cs="Times New Roman"/>
          <w:sz w:val="24"/>
          <w:szCs w:val="24"/>
          <w:lang w:val="en-US"/>
        </w:rPr>
        <w:t>innovaciones</w:t>
      </w:r>
      <w:proofErr w:type="spellEnd"/>
      <w:r w:rsidRPr="00842834">
        <w:rPr>
          <w:rFonts w:ascii="Times New Roman" w:eastAsia="Times New Roman" w:hAnsi="Times New Roman" w:cs="Times New Roman"/>
          <w:sz w:val="24"/>
          <w:szCs w:val="24"/>
          <w:lang w:val="en-US"/>
        </w:rPr>
        <w:t xml:space="preserve"> </w:t>
      </w:r>
      <w:proofErr w:type="spellStart"/>
      <w:r w:rsidRPr="00842834">
        <w:rPr>
          <w:rFonts w:ascii="Times New Roman" w:eastAsia="Times New Roman" w:hAnsi="Times New Roman" w:cs="Times New Roman"/>
          <w:sz w:val="24"/>
          <w:szCs w:val="24"/>
          <w:lang w:val="en-US"/>
        </w:rPr>
        <w:t>sobre</w:t>
      </w:r>
      <w:proofErr w:type="spellEnd"/>
      <w:r w:rsidRPr="00842834">
        <w:rPr>
          <w:rFonts w:ascii="Times New Roman" w:eastAsia="Times New Roman" w:hAnsi="Times New Roman" w:cs="Times New Roman"/>
          <w:sz w:val="24"/>
          <w:szCs w:val="24"/>
          <w:lang w:val="en-US"/>
        </w:rPr>
        <w:t xml:space="preserve"> la IFRS 4</w:t>
      </w:r>
      <w:sdt>
        <w:sdtPr>
          <w:rPr>
            <w:rFonts w:ascii="Times New Roman" w:eastAsia="Times New Roman" w:hAnsi="Times New Roman" w:cs="Times New Roman"/>
            <w:sz w:val="24"/>
            <w:szCs w:val="24"/>
          </w:rPr>
          <w:id w:val="895547446"/>
          <w:citation/>
        </w:sdtPr>
        <w:sdtContent>
          <w:r w:rsidR="00842834">
            <w:rPr>
              <w:rFonts w:ascii="Times New Roman" w:eastAsia="Times New Roman" w:hAnsi="Times New Roman" w:cs="Times New Roman"/>
              <w:sz w:val="24"/>
              <w:szCs w:val="24"/>
            </w:rPr>
            <w:fldChar w:fldCharType="begin"/>
          </w:r>
          <w:r w:rsidR="00842834">
            <w:rPr>
              <w:rFonts w:ascii="Times New Roman" w:eastAsia="Times New Roman" w:hAnsi="Times New Roman" w:cs="Times New Roman"/>
              <w:sz w:val="24"/>
              <w:szCs w:val="24"/>
              <w:lang w:val="en-US"/>
            </w:rPr>
            <w:instrText xml:space="preserve"> CITATION IFRS4 \l 1033 </w:instrText>
          </w:r>
          <w:r w:rsidR="00842834">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lang w:val="en-US"/>
            </w:rPr>
            <w:t xml:space="preserve"> </w:t>
          </w:r>
          <w:r w:rsidR="00962F7A" w:rsidRPr="00962F7A">
            <w:rPr>
              <w:rFonts w:ascii="Times New Roman" w:eastAsia="Times New Roman" w:hAnsi="Times New Roman" w:cs="Times New Roman"/>
              <w:noProof/>
              <w:sz w:val="24"/>
              <w:szCs w:val="24"/>
              <w:lang w:val="en-US"/>
            </w:rPr>
            <w:t>(International Accounting Standards Board, 2004)</w:t>
          </w:r>
          <w:r w:rsidR="00842834">
            <w:rPr>
              <w:rFonts w:ascii="Times New Roman" w:eastAsia="Times New Roman" w:hAnsi="Times New Roman" w:cs="Times New Roman"/>
              <w:sz w:val="24"/>
              <w:szCs w:val="24"/>
            </w:rPr>
            <w:fldChar w:fldCharType="end"/>
          </w:r>
        </w:sdtContent>
      </w:sdt>
      <w:r w:rsidRPr="00842834">
        <w:rPr>
          <w:rFonts w:ascii="Times New Roman" w:eastAsia="Times New Roman" w:hAnsi="Times New Roman" w:cs="Times New Roman"/>
          <w:sz w:val="24"/>
          <w:szCs w:val="24"/>
          <w:lang w:val="en-US"/>
        </w:rPr>
        <w:t xml:space="preserve">. </w:t>
      </w:r>
      <w:r w:rsidRPr="00EA4C1F">
        <w:rPr>
          <w:rFonts w:ascii="Times New Roman" w:eastAsia="Times New Roman" w:hAnsi="Times New Roman" w:cs="Times New Roman"/>
          <w:sz w:val="24"/>
          <w:szCs w:val="24"/>
        </w:rPr>
        <w:t>En el contexto de este trabajo, las más importantes radican en:</w:t>
      </w:r>
    </w:p>
    <w:p w14:paraId="00000085" w14:textId="77777777" w:rsidR="00E6009A" w:rsidRPr="00EA4C1F" w:rsidRDefault="00000000" w:rsidP="00EA4C1F">
      <w:pPr>
        <w:numPr>
          <w:ilvl w:val="0"/>
          <w:numId w:val="2"/>
        </w:numPr>
        <w:spacing w:before="240"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segmentación de contratos de seguro.</w:t>
      </w:r>
    </w:p>
    <w:p w14:paraId="00000086" w14:textId="77777777" w:rsidR="00E6009A" w:rsidRPr="00EA4C1F" w:rsidRDefault="00000000" w:rsidP="00EA4C1F">
      <w:pPr>
        <w:numPr>
          <w:ilvl w:val="0"/>
          <w:numId w:val="2"/>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El concepto de valuación del pasivo como el valor esperado de los flujos de efectivo futuros.</w:t>
      </w:r>
    </w:p>
    <w:p w14:paraId="00000087" w14:textId="77777777" w:rsidR="00E6009A" w:rsidRPr="00EA4C1F" w:rsidRDefault="00000000" w:rsidP="00EA4C1F">
      <w:pPr>
        <w:numPr>
          <w:ilvl w:val="0"/>
          <w:numId w:val="2"/>
        </w:numPr>
        <w:spacing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los modelos de medición para los flujos futuros.</w:t>
      </w:r>
    </w:p>
    <w:p w14:paraId="00000088"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Con respecto al primero, la norma exige que los contratos se organicen en carteras, las cuales se definen como: grupos de contratos que presentan riesgos similares y se gestionan de manera conjunta. Cada cartera debe subdividirse en tres grupos: contratos onerosos al reconocimiento inicial, contratos sin posibilidad significativa de volverse onerosos, y el resto de los contratos. Además, permite crear divisiones adicionales por fecha de emisión, duración o nivel de riesgo. Esta segmentación evita la compensación entre contratos con diferente rentabilidad y riesgos heterogéneos, ayudando a la transparencia en el reconocimiento del resultado. </w:t>
      </w:r>
    </w:p>
    <w:p w14:paraId="00000089" w14:textId="36130946"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El segundo punto, hace referencia a que el valor de un contrato de seguros se corresponde con la mejor estimación de los flujos </w:t>
      </w:r>
      <w:r w:rsidR="00842834" w:rsidRPr="00EA4C1F">
        <w:rPr>
          <w:rFonts w:ascii="Times New Roman" w:eastAsia="Times New Roman" w:hAnsi="Times New Roman" w:cs="Times New Roman"/>
          <w:sz w:val="24"/>
          <w:szCs w:val="24"/>
        </w:rPr>
        <w:t>de este</w:t>
      </w:r>
      <w:r w:rsidRPr="00EA4C1F">
        <w:rPr>
          <w:rFonts w:ascii="Times New Roman" w:eastAsia="Times New Roman" w:hAnsi="Times New Roman" w:cs="Times New Roman"/>
          <w:sz w:val="24"/>
          <w:szCs w:val="24"/>
        </w:rPr>
        <w:t xml:space="preserve">, descontados (opcionalmente) a una tasa libre de riesgo ajustada por iliquidez. A su vez, se exige la adición de un ajuste por riesgo no financiero (Risk </w:t>
      </w:r>
      <w:proofErr w:type="spellStart"/>
      <w:r w:rsidRPr="00EA4C1F">
        <w:rPr>
          <w:rFonts w:ascii="Times New Roman" w:eastAsia="Times New Roman" w:hAnsi="Times New Roman" w:cs="Times New Roman"/>
          <w:sz w:val="24"/>
          <w:szCs w:val="24"/>
        </w:rPr>
        <w:t>Adjustment</w:t>
      </w:r>
      <w:proofErr w:type="spellEnd"/>
      <w:r w:rsidRPr="00EA4C1F">
        <w:rPr>
          <w:rFonts w:ascii="Times New Roman" w:eastAsia="Times New Roman" w:hAnsi="Times New Roman" w:cs="Times New Roman"/>
          <w:sz w:val="24"/>
          <w:szCs w:val="24"/>
        </w:rPr>
        <w:t xml:space="preserve">), el cual, debe reflejar la incertidumbre de la variación de los flujos futuros de la cartera. Todo esto resulta en una valuación que no solo reconoce el valor tiempo-dinero de los flujos, sino también, la existencia de posibles desvíos futuros. Adicionalmente, se incorpora el </w:t>
      </w:r>
      <w:r w:rsidRPr="00EA4C1F">
        <w:rPr>
          <w:rFonts w:ascii="Times New Roman" w:eastAsia="Times New Roman" w:hAnsi="Times New Roman" w:cs="Times New Roman"/>
          <w:sz w:val="24"/>
          <w:szCs w:val="24"/>
        </w:rPr>
        <w:lastRenderedPageBreak/>
        <w:t xml:space="preserve">concepto del Margen de Servicio Contractual (de ahora en más, CSM), que regula la forma en que se reconoce la rentabilidad de los contratos a lo largo del tiempo. En lugar de permitir el reconocimiento inmediato de ganancias al inicio del contrato, el CSM distribuye la rentabilidad a lo largo de su </w:t>
      </w:r>
      <w:proofErr w:type="gramStart"/>
      <w:r w:rsidRPr="00EA4C1F">
        <w:rPr>
          <w:rFonts w:ascii="Times New Roman" w:eastAsia="Times New Roman" w:hAnsi="Times New Roman" w:cs="Times New Roman"/>
          <w:sz w:val="24"/>
          <w:szCs w:val="24"/>
        </w:rPr>
        <w:t>vida  mediante</w:t>
      </w:r>
      <w:proofErr w:type="gramEnd"/>
      <w:r w:rsidRPr="00EA4C1F">
        <w:rPr>
          <w:rFonts w:ascii="Times New Roman" w:eastAsia="Times New Roman" w:hAnsi="Times New Roman" w:cs="Times New Roman"/>
          <w:sz w:val="24"/>
          <w:szCs w:val="24"/>
        </w:rPr>
        <w:t xml:space="preserve"> un roll-forward que ajusta los resultados año a año.</w:t>
      </w:r>
    </w:p>
    <w:p w14:paraId="0000008A" w14:textId="5B453D6A"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Por último, la IFRS 17 </w:t>
      </w:r>
      <w:sdt>
        <w:sdtPr>
          <w:rPr>
            <w:rFonts w:ascii="Times New Roman" w:eastAsia="Times New Roman" w:hAnsi="Times New Roman" w:cs="Times New Roman"/>
            <w:sz w:val="24"/>
            <w:szCs w:val="24"/>
          </w:rPr>
          <w:id w:val="781007025"/>
          <w:citation/>
        </w:sdtPr>
        <w:sdtContent>
          <w:r w:rsidR="00842834">
            <w:rPr>
              <w:rFonts w:ascii="Times New Roman" w:eastAsia="Times New Roman" w:hAnsi="Times New Roman" w:cs="Times New Roman"/>
              <w:sz w:val="24"/>
              <w:szCs w:val="24"/>
            </w:rPr>
            <w:fldChar w:fldCharType="begin"/>
          </w:r>
          <w:r w:rsidR="00842834" w:rsidRPr="00842834">
            <w:rPr>
              <w:rFonts w:ascii="Times New Roman" w:eastAsia="Times New Roman" w:hAnsi="Times New Roman" w:cs="Times New Roman"/>
              <w:sz w:val="24"/>
              <w:szCs w:val="24"/>
            </w:rPr>
            <w:instrText xml:space="preserve"> CITATION IFRS17 \l 1033 </w:instrText>
          </w:r>
          <w:r w:rsidR="00842834">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(International Accounting Standards Board, 2017)</w:t>
          </w:r>
          <w:r w:rsidR="00842834">
            <w:rPr>
              <w:rFonts w:ascii="Times New Roman" w:eastAsia="Times New Roman" w:hAnsi="Times New Roman" w:cs="Times New Roman"/>
              <w:sz w:val="24"/>
              <w:szCs w:val="24"/>
            </w:rPr>
            <w:fldChar w:fldCharType="end"/>
          </w:r>
        </w:sdtContent>
      </w:sdt>
      <w:r w:rsidR="00842834">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define tres modelos de medición de pasivo según la naturaleza del contrato. El enfoque general, conocido como Building Block </w:t>
      </w:r>
      <w:proofErr w:type="spellStart"/>
      <w:r w:rsidRPr="00EA4C1F">
        <w:rPr>
          <w:rFonts w:ascii="Times New Roman" w:eastAsia="Times New Roman" w:hAnsi="Times New Roman" w:cs="Times New Roman"/>
          <w:sz w:val="24"/>
          <w:szCs w:val="24"/>
        </w:rPr>
        <w:t>Approach</w:t>
      </w:r>
      <w:proofErr w:type="spellEnd"/>
      <w:r w:rsidRPr="00EA4C1F">
        <w:rPr>
          <w:rFonts w:ascii="Times New Roman" w:eastAsia="Times New Roman" w:hAnsi="Times New Roman" w:cs="Times New Roman"/>
          <w:sz w:val="24"/>
          <w:szCs w:val="24"/>
        </w:rPr>
        <w:t xml:space="preserve"> (de ahora en más, BBA), se utiliza para la mayoría de los contratos y se basa en cuatro componentes: </w:t>
      </w:r>
    </w:p>
    <w:p w14:paraId="0000008B" w14:textId="77777777" w:rsidR="00E6009A" w:rsidRPr="00EA4C1F" w:rsidRDefault="00000000" w:rsidP="00EA4C1F">
      <w:pPr>
        <w:numPr>
          <w:ilvl w:val="0"/>
          <w:numId w:val="16"/>
        </w:numPr>
        <w:spacing w:before="240"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Estimación de los flujos futuros</w:t>
      </w:r>
    </w:p>
    <w:p w14:paraId="0000008C" w14:textId="77777777" w:rsidR="00E6009A" w:rsidRPr="00EA4C1F" w:rsidRDefault="00000000" w:rsidP="00EA4C1F">
      <w:pPr>
        <w:numPr>
          <w:ilvl w:val="0"/>
          <w:numId w:val="16"/>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Tasa de descuento </w:t>
      </w:r>
    </w:p>
    <w:p w14:paraId="0000008D" w14:textId="77777777" w:rsidR="00E6009A" w:rsidRPr="00EA4C1F" w:rsidRDefault="00000000" w:rsidP="00EA4C1F">
      <w:pPr>
        <w:numPr>
          <w:ilvl w:val="0"/>
          <w:numId w:val="16"/>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Ajuste por riesgo</w:t>
      </w:r>
    </w:p>
    <w:p w14:paraId="0000008E" w14:textId="77777777" w:rsidR="00E6009A" w:rsidRPr="00EA4C1F" w:rsidRDefault="00000000" w:rsidP="00EA4C1F">
      <w:pPr>
        <w:numPr>
          <w:ilvl w:val="0"/>
          <w:numId w:val="16"/>
        </w:numPr>
        <w:spacing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CSM. </w:t>
      </w:r>
    </w:p>
    <w:p w14:paraId="0000008F"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Para contratos de cobertura de corto plazo (menores a un año), se permite un esquema simplificado denominado Premium </w:t>
      </w:r>
      <w:proofErr w:type="spellStart"/>
      <w:r w:rsidRPr="00EA4C1F">
        <w:rPr>
          <w:rFonts w:ascii="Times New Roman" w:eastAsia="Times New Roman" w:hAnsi="Times New Roman" w:cs="Times New Roman"/>
          <w:sz w:val="24"/>
          <w:szCs w:val="24"/>
        </w:rPr>
        <w:t>Allocation</w:t>
      </w:r>
      <w:proofErr w:type="spellEnd"/>
      <w:r w:rsidRPr="00EA4C1F">
        <w:rPr>
          <w:rFonts w:ascii="Times New Roman" w:eastAsia="Times New Roman" w:hAnsi="Times New Roman" w:cs="Times New Roman"/>
          <w:sz w:val="24"/>
          <w:szCs w:val="24"/>
        </w:rPr>
        <w:t xml:space="preserve"> </w:t>
      </w:r>
      <w:proofErr w:type="spellStart"/>
      <w:r w:rsidRPr="00EA4C1F">
        <w:rPr>
          <w:rFonts w:ascii="Times New Roman" w:eastAsia="Times New Roman" w:hAnsi="Times New Roman" w:cs="Times New Roman"/>
          <w:sz w:val="24"/>
          <w:szCs w:val="24"/>
        </w:rPr>
        <w:t>Approach</w:t>
      </w:r>
      <w:proofErr w:type="spellEnd"/>
      <w:r w:rsidRPr="00EA4C1F">
        <w:rPr>
          <w:rFonts w:ascii="Times New Roman" w:eastAsia="Times New Roman" w:hAnsi="Times New Roman" w:cs="Times New Roman"/>
          <w:sz w:val="24"/>
          <w:szCs w:val="24"/>
        </w:rPr>
        <w:t xml:space="preserve"> (de ahora en más, PAA), siempre y cuando produzca resultados no materialmente distintos del BBA. La ventaja de este modelo, además de la simplicidad, es la exención del cálculo del CSM. Finalmente, el Variable Fee </w:t>
      </w:r>
      <w:proofErr w:type="spellStart"/>
      <w:r w:rsidRPr="00EA4C1F">
        <w:rPr>
          <w:rFonts w:ascii="Times New Roman" w:eastAsia="Times New Roman" w:hAnsi="Times New Roman" w:cs="Times New Roman"/>
          <w:sz w:val="24"/>
          <w:szCs w:val="24"/>
        </w:rPr>
        <w:t>Approach</w:t>
      </w:r>
      <w:proofErr w:type="spellEnd"/>
      <w:r w:rsidRPr="00EA4C1F">
        <w:rPr>
          <w:rFonts w:ascii="Times New Roman" w:eastAsia="Times New Roman" w:hAnsi="Times New Roman" w:cs="Times New Roman"/>
          <w:sz w:val="24"/>
          <w:szCs w:val="24"/>
        </w:rPr>
        <w:t xml:space="preserve"> (de ahora en más, VFA) se utiliza para contratos con participación en el rendimiento de activos subyacentes, siendo su característica principal, el ajuste por cambios en el valor de los activos y del pasivo correspondiente.</w:t>
      </w:r>
    </w:p>
    <w:p w14:paraId="00000090" w14:textId="21774463"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 IFRS 17 </w:t>
      </w:r>
      <w:sdt>
        <w:sdtPr>
          <w:rPr>
            <w:rFonts w:ascii="Times New Roman" w:eastAsia="Times New Roman" w:hAnsi="Times New Roman" w:cs="Times New Roman"/>
            <w:sz w:val="24"/>
            <w:szCs w:val="24"/>
          </w:rPr>
          <w:id w:val="215939286"/>
          <w:citation/>
        </w:sdtPr>
        <w:sdtContent>
          <w:r w:rsidR="00842834">
            <w:rPr>
              <w:rFonts w:ascii="Times New Roman" w:eastAsia="Times New Roman" w:hAnsi="Times New Roman" w:cs="Times New Roman"/>
              <w:sz w:val="24"/>
              <w:szCs w:val="24"/>
            </w:rPr>
            <w:fldChar w:fldCharType="begin"/>
          </w:r>
          <w:r w:rsidR="00842834" w:rsidRPr="00842834">
            <w:rPr>
              <w:rFonts w:ascii="Times New Roman" w:eastAsia="Times New Roman" w:hAnsi="Times New Roman" w:cs="Times New Roman"/>
              <w:sz w:val="24"/>
              <w:szCs w:val="24"/>
            </w:rPr>
            <w:instrText xml:space="preserve"> CITATION IFRS17 \l 1033 </w:instrText>
          </w:r>
          <w:r w:rsidR="00842834">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(International Accounting Standards Board, 2017)</w:t>
          </w:r>
          <w:r w:rsidR="00842834">
            <w:rPr>
              <w:rFonts w:ascii="Times New Roman" w:eastAsia="Times New Roman" w:hAnsi="Times New Roman" w:cs="Times New Roman"/>
              <w:sz w:val="24"/>
              <w:szCs w:val="24"/>
            </w:rPr>
            <w:fldChar w:fldCharType="end"/>
          </w:r>
        </w:sdtContent>
      </w:sdt>
      <w:r w:rsidR="00842834">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representa un cambio conceptual respecto del enfoque tradicional del RGAA, al requerir una medición exhaustiva del riesgo y coherencia financiera para la valuación de los pasivos de la aseguradora. Para este trabajo, se </w:t>
      </w:r>
      <w:r w:rsidRPr="00EA4C1F">
        <w:rPr>
          <w:rFonts w:ascii="Times New Roman" w:eastAsia="Times New Roman" w:hAnsi="Times New Roman" w:cs="Times New Roman"/>
          <w:sz w:val="24"/>
          <w:szCs w:val="24"/>
        </w:rPr>
        <w:lastRenderedPageBreak/>
        <w:t>utiliz</w:t>
      </w:r>
      <w:r w:rsidR="00842834">
        <w:rPr>
          <w:rFonts w:ascii="Times New Roman" w:eastAsia="Times New Roman" w:hAnsi="Times New Roman" w:cs="Times New Roman"/>
          <w:sz w:val="24"/>
          <w:szCs w:val="24"/>
        </w:rPr>
        <w:t>ó</w:t>
      </w:r>
      <w:r w:rsidRPr="00EA4C1F">
        <w:rPr>
          <w:rFonts w:ascii="Times New Roman" w:eastAsia="Times New Roman" w:hAnsi="Times New Roman" w:cs="Times New Roman"/>
          <w:sz w:val="24"/>
          <w:szCs w:val="24"/>
        </w:rPr>
        <w:t xml:space="preserve"> el modelo BBA como marco para la comparación del pasivo entre normativas ya que es el que más se asemeja a la normativa local.</w:t>
      </w:r>
    </w:p>
    <w:bookmarkStart w:id="14" w:name="_Toc221446735"/>
    <w:p w14:paraId="00000091" w14:textId="77777777" w:rsidR="00E6009A" w:rsidRPr="00EA4C1F" w:rsidRDefault="00000000" w:rsidP="00EA4C1F">
      <w:pPr>
        <w:pStyle w:val="Heading1"/>
        <w:numPr>
          <w:ilvl w:val="0"/>
          <w:numId w:val="3"/>
        </w:numPr>
        <w:spacing w:before="240"/>
        <w:ind w:left="708"/>
      </w:pPr>
      <w:sdt>
        <w:sdtPr>
          <w:tag w:val="goog_rdk_14"/>
          <w:id w:val="-368950861"/>
        </w:sdtPr>
        <w:sdtContent/>
      </w:sdt>
      <w:sdt>
        <w:sdtPr>
          <w:tag w:val="goog_rdk_15"/>
          <w:id w:val="1311397160"/>
        </w:sdtPr>
        <w:sdtContent/>
      </w:sdt>
      <w:r w:rsidRPr="00EA4C1F">
        <w:t>Marco Metodológico</w:t>
      </w:r>
      <w:bookmarkEnd w:id="14"/>
    </w:p>
    <w:p w14:paraId="00000092" w14:textId="77777777" w:rsidR="00E6009A" w:rsidRPr="00EA4C1F" w:rsidRDefault="00000000" w:rsidP="00EA4C1F">
      <w:pPr>
        <w:pStyle w:val="Heading1"/>
        <w:numPr>
          <w:ilvl w:val="1"/>
          <w:numId w:val="3"/>
        </w:numPr>
        <w:rPr>
          <w:sz w:val="30"/>
          <w:szCs w:val="30"/>
        </w:rPr>
      </w:pPr>
      <w:bookmarkStart w:id="15" w:name="_Toc221446736"/>
      <w:r w:rsidRPr="00EA4C1F">
        <w:rPr>
          <w:sz w:val="30"/>
          <w:szCs w:val="30"/>
        </w:rPr>
        <w:t>Base de Datos</w:t>
      </w:r>
      <w:bookmarkEnd w:id="15"/>
    </w:p>
    <w:p w14:paraId="00000093" w14:textId="77777777" w:rsidR="00E6009A" w:rsidRPr="00EA4C1F" w:rsidRDefault="00000000" w:rsidP="00EA4C1F">
      <w:pPr>
        <w:pStyle w:val="Heading1"/>
        <w:numPr>
          <w:ilvl w:val="2"/>
          <w:numId w:val="3"/>
        </w:numPr>
        <w:ind w:hanging="360"/>
        <w:rPr>
          <w:sz w:val="24"/>
          <w:szCs w:val="24"/>
        </w:rPr>
      </w:pPr>
      <w:bookmarkStart w:id="16" w:name="_Toc221446737"/>
      <w:r w:rsidRPr="00EA4C1F">
        <w:rPr>
          <w:sz w:val="28"/>
          <w:szCs w:val="28"/>
        </w:rPr>
        <w:t>Base de Siniestros</w:t>
      </w:r>
      <w:bookmarkEnd w:id="16"/>
    </w:p>
    <w:p w14:paraId="00000094" w14:textId="755AFAB2"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Para llevar a cabo el análisis, se utilizaron las bases de Desarrollo de Siniestros Automotores provista por la SSN para </w:t>
      </w:r>
      <w:r w:rsidRPr="00E82F76">
        <w:rPr>
          <w:rFonts w:ascii="Times New Roman" w:eastAsia="Times New Roman" w:hAnsi="Times New Roman" w:cs="Times New Roman"/>
          <w:color w:val="000000" w:themeColor="text1"/>
          <w:sz w:val="24"/>
          <w:szCs w:val="24"/>
        </w:rPr>
        <w:t xml:space="preserve">el periodo 2023/2024. La </w:t>
      </w:r>
      <w:r w:rsidRPr="00EA4C1F">
        <w:rPr>
          <w:rFonts w:ascii="Times New Roman" w:eastAsia="Times New Roman" w:hAnsi="Times New Roman" w:cs="Times New Roman"/>
          <w:sz w:val="24"/>
          <w:szCs w:val="24"/>
        </w:rPr>
        <w:t xml:space="preserve">misma, utiliza información basada en los datos ingresados por las aseguradoras a través del sistema </w:t>
      </w:r>
      <w:proofErr w:type="spellStart"/>
      <w:r w:rsidRPr="00EA4C1F">
        <w:rPr>
          <w:rFonts w:ascii="Times New Roman" w:eastAsia="Times New Roman" w:hAnsi="Times New Roman" w:cs="Times New Roman"/>
          <w:sz w:val="24"/>
          <w:szCs w:val="24"/>
        </w:rPr>
        <w:t>PrismaNET</w:t>
      </w:r>
      <w:proofErr w:type="spellEnd"/>
      <w:r w:rsidRPr="00EA4C1F">
        <w:rPr>
          <w:rFonts w:ascii="Times New Roman" w:eastAsia="Times New Roman" w:hAnsi="Times New Roman" w:cs="Times New Roman"/>
          <w:sz w:val="24"/>
          <w:szCs w:val="24"/>
        </w:rPr>
        <w:t xml:space="preserve">, compilada como un archivo Excel. Contiene información anual sobre los montos agregados de siniestros incurridos, desagregada por: ramo, año de ocurrencia y período de desarrollo. Esto último, se refiere al periodo en el cual se registra el monto, aun cuando el siniestro haya ocurrido en una fecha anterior. Adicionalmente, dichos valores se encuentran expresados en moneda corriente, correspondientes al momento del cierre del ejercicio informado por la SSN. </w:t>
      </w:r>
    </w:p>
    <w:p w14:paraId="00000095"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estructura del archivo incluye diversas pestañas que cumplen funciones específicas: una sección de índice, un glosario de definiciones, los triángulos siniestrales consolidados y varias hojas adicionales que contienen la información utilizada para construir dichos triángulos. En estas últimas hojas, los datos se encuentran separados por año de ocurrencia.</w:t>
      </w:r>
    </w:p>
    <w:p w14:paraId="00000096"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El alcance de la información para este periodo (2023/2024) se limita a una muestra de 19 aseguradoras, las cuales acumulan un 83% de la producción del ramo automotor y un 72% de los vehículos expuestos a riesgo. Asimismo, los valores correspondientes a los ejercicios 2019/2020 </w:t>
      </w:r>
      <w:r w:rsidRPr="00EA4C1F">
        <w:rPr>
          <w:rFonts w:ascii="Times New Roman" w:eastAsia="Times New Roman" w:hAnsi="Times New Roman" w:cs="Times New Roman"/>
          <w:sz w:val="24"/>
          <w:szCs w:val="24"/>
        </w:rPr>
        <w:lastRenderedPageBreak/>
        <w:t>y 2020/2021 contienen el impacto de la pandemia del coronavirus COVID-19 y las consecuentes medidas de prevención dispuestas por el Gobierno Argentino a partir del 19/03/2020.</w:t>
      </w:r>
    </w:p>
    <w:p w14:paraId="00000097" w14:textId="77777777" w:rsidR="00E6009A" w:rsidRPr="00EA4C1F" w:rsidRDefault="00000000" w:rsidP="00EA4C1F">
      <w:pPr>
        <w:pStyle w:val="Heading3"/>
        <w:numPr>
          <w:ilvl w:val="2"/>
          <w:numId w:val="3"/>
        </w:numPr>
        <w:spacing w:line="480" w:lineRule="auto"/>
        <w:ind w:hanging="360"/>
        <w:jc w:val="both"/>
        <w:rPr>
          <w:rFonts w:ascii="Times New Roman" w:hAnsi="Times New Roman" w:cs="Times New Roman"/>
        </w:rPr>
      </w:pPr>
      <w:bookmarkStart w:id="17" w:name="_Toc221446738"/>
      <w:r w:rsidRPr="00EA4C1F">
        <w:rPr>
          <w:rFonts w:ascii="Times New Roman" w:hAnsi="Times New Roman" w:cs="Times New Roman"/>
        </w:rPr>
        <w:t>Segmentaciones y supuestos sobre la base de datos</w:t>
      </w:r>
      <w:bookmarkEnd w:id="17"/>
    </w:p>
    <w:p w14:paraId="00000098" w14:textId="0E3A1DDB"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Para este trabajo, se utilizó una partición de la base de datos, dado que, únicamente se busca analizar el </w:t>
      </w:r>
      <w:proofErr w:type="spellStart"/>
      <w:r w:rsidR="00E82F76"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de Responsabilidad Civil. Dentro de la misma, RC se encuentra segmentado en los siguientes conceptos: RC lesiones 3º transportados, RC lesiones 3º no transportados y RC daños a cosas.</w:t>
      </w:r>
    </w:p>
    <w:p w14:paraId="00000099" w14:textId="77777777" w:rsidR="00E6009A" w:rsidRPr="00EA4C1F" w:rsidRDefault="00000000" w:rsidP="00EA4C1F">
      <w:pPr>
        <w:spacing w:line="480" w:lineRule="auto"/>
        <w:jc w:val="both"/>
        <w:rPr>
          <w:rFonts w:ascii="Times New Roman" w:eastAsia="Times New Roman" w:hAnsi="Times New Roman" w:cs="Times New Roman"/>
          <w:sz w:val="26"/>
          <w:szCs w:val="26"/>
        </w:rPr>
      </w:pPr>
      <w:r w:rsidRPr="00EA4C1F">
        <w:rPr>
          <w:rFonts w:ascii="Times New Roman" w:eastAsia="Times New Roman" w:hAnsi="Times New Roman" w:cs="Times New Roman"/>
          <w:sz w:val="24"/>
          <w:szCs w:val="24"/>
        </w:rPr>
        <w:t>Sobre esta segmentación, se asumen los siguientes supuestos:</w:t>
      </w:r>
    </w:p>
    <w:p w14:paraId="0000009A" w14:textId="77777777" w:rsidR="00E6009A" w:rsidRPr="00EA4C1F" w:rsidRDefault="00000000" w:rsidP="00EA4C1F">
      <w:pPr>
        <w:numPr>
          <w:ilvl w:val="0"/>
          <w:numId w:val="12"/>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información es representativa del mercado asegurador en el periodo de valuación.</w:t>
      </w:r>
    </w:p>
    <w:p w14:paraId="0000009B" w14:textId="77777777" w:rsidR="00E6009A" w:rsidRPr="00EA4C1F" w:rsidRDefault="00000000" w:rsidP="00EA4C1F">
      <w:pPr>
        <w:numPr>
          <w:ilvl w:val="0"/>
          <w:numId w:val="12"/>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Las segmentaciones y </w:t>
      </w:r>
      <w:proofErr w:type="spellStart"/>
      <w:r w:rsidRPr="00EA4C1F">
        <w:rPr>
          <w:rFonts w:ascii="Times New Roman" w:eastAsia="Times New Roman" w:hAnsi="Times New Roman" w:cs="Times New Roman"/>
          <w:sz w:val="24"/>
          <w:szCs w:val="24"/>
        </w:rPr>
        <w:t>sub-segmentaciones</w:t>
      </w:r>
      <w:proofErr w:type="spellEnd"/>
      <w:r w:rsidRPr="00EA4C1F">
        <w:rPr>
          <w:rFonts w:ascii="Times New Roman" w:eastAsia="Times New Roman" w:hAnsi="Times New Roman" w:cs="Times New Roman"/>
          <w:sz w:val="24"/>
          <w:szCs w:val="24"/>
        </w:rPr>
        <w:t xml:space="preserve"> dispuestas son razonables para el ramo.</w:t>
      </w:r>
    </w:p>
    <w:p w14:paraId="0000009C" w14:textId="77777777" w:rsidR="00E6009A" w:rsidRPr="00EA4C1F" w:rsidRDefault="00000000" w:rsidP="00EA4C1F">
      <w:pPr>
        <w:numPr>
          <w:ilvl w:val="0"/>
          <w:numId w:val="12"/>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Los montos presentados están valuados al 30 de junio del año en que se presentó dicho monto. Por ejemplo, para un siniestro con año de ocurrencia 2019 y periodo de desarrollo de 2 años, la fecha de valuación será el 30 de junio de 2021. Esto se hace debido a que los datos surgen de partidas contables.</w:t>
      </w:r>
    </w:p>
    <w:p w14:paraId="0000009D" w14:textId="77777777" w:rsidR="00E6009A" w:rsidRDefault="00000000" w:rsidP="00EA4C1F">
      <w:pPr>
        <w:numPr>
          <w:ilvl w:val="0"/>
          <w:numId w:val="12"/>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No contiene siniestros anómalos</w:t>
      </w:r>
    </w:p>
    <w:p w14:paraId="45DE1430" w14:textId="7FC83ABF" w:rsidR="006B639C" w:rsidRPr="00EA4C1F" w:rsidRDefault="006B639C" w:rsidP="00EA4C1F">
      <w:pPr>
        <w:numPr>
          <w:ilvl w:val="0"/>
          <w:numId w:val="12"/>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distribución de l</w:t>
      </w:r>
      <w:r w:rsidR="00EC126D">
        <w:rPr>
          <w:rFonts w:ascii="Times New Roman" w:eastAsia="Times New Roman" w:hAnsi="Times New Roman" w:cs="Times New Roman"/>
          <w:sz w:val="24"/>
          <w:szCs w:val="24"/>
        </w:rPr>
        <w:t>a evolución de los</w:t>
      </w:r>
      <w:r>
        <w:rPr>
          <w:rFonts w:ascii="Times New Roman" w:eastAsia="Times New Roman" w:hAnsi="Times New Roman" w:cs="Times New Roman"/>
          <w:sz w:val="24"/>
          <w:szCs w:val="24"/>
        </w:rPr>
        <w:t xml:space="preserve"> siniestros en el tiempo se comporta como una distribución de Poisson sobre dispersada.</w:t>
      </w:r>
    </w:p>
    <w:p w14:paraId="0000009E" w14:textId="77777777" w:rsidR="00E6009A" w:rsidRPr="00EA4C1F" w:rsidRDefault="00000000" w:rsidP="00EA4C1F">
      <w:pPr>
        <w:pStyle w:val="Heading2"/>
        <w:numPr>
          <w:ilvl w:val="2"/>
          <w:numId w:val="3"/>
        </w:numPr>
        <w:spacing w:before="0" w:line="480" w:lineRule="auto"/>
        <w:ind w:hanging="360"/>
        <w:jc w:val="both"/>
        <w:rPr>
          <w:rFonts w:ascii="Times New Roman" w:eastAsia="Times New Roman" w:hAnsi="Times New Roman" w:cs="Times New Roman"/>
        </w:rPr>
      </w:pPr>
      <w:bookmarkStart w:id="18" w:name="_Toc221446739"/>
      <w:r w:rsidRPr="00EA4C1F">
        <w:rPr>
          <w:rFonts w:ascii="Times New Roman" w:eastAsia="Times New Roman" w:hAnsi="Times New Roman" w:cs="Times New Roman"/>
        </w:rPr>
        <w:t>Índice de actualización de Siniestros</w:t>
      </w:r>
      <w:bookmarkEnd w:id="18"/>
    </w:p>
    <w:p w14:paraId="0000009F" w14:textId="3F82A91F"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Las normativas descritas anteriormente requieren un índice de actualización que refleje el aumento sostenido de la severidad en el tiempo. Para satisfacer este requisito, se utilizará la base de datos del índice FACPCE, publicada por la Federación Argentina de Consejos Profesionales de Ciencias </w:t>
      </w:r>
      <w:r w:rsidRPr="00EA4C1F">
        <w:rPr>
          <w:rFonts w:ascii="Times New Roman" w:eastAsia="Times New Roman" w:hAnsi="Times New Roman" w:cs="Times New Roman"/>
          <w:sz w:val="24"/>
          <w:szCs w:val="24"/>
        </w:rPr>
        <w:lastRenderedPageBreak/>
        <w:t>Económicas. Dicha información consiste en un archivo con formato “</w:t>
      </w:r>
      <w:proofErr w:type="spellStart"/>
      <w:r w:rsidRPr="00EA4C1F">
        <w:rPr>
          <w:rFonts w:ascii="Times New Roman" w:eastAsia="Times New Roman" w:hAnsi="Times New Roman" w:cs="Times New Roman"/>
          <w:sz w:val="24"/>
          <w:szCs w:val="24"/>
        </w:rPr>
        <w:t>Comma</w:t>
      </w:r>
      <w:proofErr w:type="spellEnd"/>
      <w:r w:rsidRPr="00EA4C1F">
        <w:rPr>
          <w:rFonts w:ascii="Times New Roman" w:eastAsia="Times New Roman" w:hAnsi="Times New Roman" w:cs="Times New Roman"/>
          <w:sz w:val="24"/>
          <w:szCs w:val="24"/>
        </w:rPr>
        <w:t xml:space="preserve"> </w:t>
      </w:r>
      <w:proofErr w:type="spellStart"/>
      <w:r w:rsidRPr="00EA4C1F">
        <w:rPr>
          <w:rFonts w:ascii="Times New Roman" w:eastAsia="Times New Roman" w:hAnsi="Times New Roman" w:cs="Times New Roman"/>
          <w:sz w:val="24"/>
          <w:szCs w:val="24"/>
        </w:rPr>
        <w:t>Delimited</w:t>
      </w:r>
      <w:proofErr w:type="spellEnd"/>
      <w:r w:rsidRPr="00EA4C1F">
        <w:rPr>
          <w:rFonts w:ascii="Times New Roman" w:eastAsia="Times New Roman" w:hAnsi="Times New Roman" w:cs="Times New Roman"/>
          <w:sz w:val="24"/>
          <w:szCs w:val="24"/>
        </w:rPr>
        <w:t xml:space="preserve"> </w:t>
      </w:r>
      <w:proofErr w:type="spellStart"/>
      <w:r w:rsidRPr="00EA4C1F">
        <w:rPr>
          <w:rFonts w:ascii="Times New Roman" w:eastAsia="Times New Roman" w:hAnsi="Times New Roman" w:cs="Times New Roman"/>
          <w:sz w:val="24"/>
          <w:szCs w:val="24"/>
        </w:rPr>
        <w:t>Values</w:t>
      </w:r>
      <w:proofErr w:type="spellEnd"/>
      <w:r w:rsidRPr="00EA4C1F">
        <w:rPr>
          <w:rFonts w:ascii="Times New Roman" w:eastAsia="Times New Roman" w:hAnsi="Times New Roman" w:cs="Times New Roman"/>
          <w:sz w:val="24"/>
          <w:szCs w:val="24"/>
        </w:rPr>
        <w:t xml:space="preserve">”, el cual posee una columna para la fecha de medición y otra para el índice. </w:t>
      </w:r>
    </w:p>
    <w:p w14:paraId="000000A0" w14:textId="2C71B6C1"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 El Índice FACPCE está conformado, en cumplimiento con la Resolución</w:t>
      </w:r>
      <w:r w:rsidR="00AA165E">
        <w:rPr>
          <w:rFonts w:ascii="Times New Roman" w:eastAsia="Times New Roman" w:hAnsi="Times New Roman" w:cs="Times New Roman"/>
          <w:sz w:val="24"/>
          <w:szCs w:val="24"/>
        </w:rPr>
        <w:t xml:space="preserve"> </w:t>
      </w:r>
      <w:proofErr w:type="spellStart"/>
      <w:r w:rsidR="00AA165E">
        <w:rPr>
          <w:rFonts w:ascii="Times New Roman" w:eastAsia="Times New Roman" w:hAnsi="Times New Roman" w:cs="Times New Roman"/>
          <w:sz w:val="24"/>
          <w:szCs w:val="24"/>
        </w:rPr>
        <w:t>JG</w:t>
      </w:r>
      <w:r w:rsidRPr="00EA4C1F">
        <w:rPr>
          <w:rFonts w:ascii="Times New Roman" w:eastAsia="Times New Roman" w:hAnsi="Times New Roman" w:cs="Times New Roman"/>
          <w:sz w:val="24"/>
          <w:szCs w:val="24"/>
        </w:rPr>
        <w:t>N°</w:t>
      </w:r>
      <w:proofErr w:type="spellEnd"/>
      <w:r w:rsidR="00403D32" w:rsidRPr="00403D32">
        <w:t xml:space="preserve"> </w:t>
      </w:r>
      <w:r w:rsidR="00403D32" w:rsidRPr="00403D32">
        <w:rPr>
          <w:rFonts w:ascii="Times New Roman" w:eastAsia="Times New Roman" w:hAnsi="Times New Roman" w:cs="Times New Roman"/>
          <w:sz w:val="24"/>
          <w:szCs w:val="24"/>
        </w:rPr>
        <w:t>539/18</w:t>
      </w:r>
      <w:sdt>
        <w:sdtPr>
          <w:rPr>
            <w:rFonts w:ascii="Times New Roman" w:eastAsia="Times New Roman" w:hAnsi="Times New Roman" w:cs="Times New Roman"/>
            <w:sz w:val="24"/>
            <w:szCs w:val="24"/>
          </w:rPr>
          <w:id w:val="939029274"/>
          <w:citation/>
        </w:sdtPr>
        <w:sdtContent>
          <w:r w:rsidR="00AA165E">
            <w:rPr>
              <w:rFonts w:ascii="Times New Roman" w:eastAsia="Times New Roman" w:hAnsi="Times New Roman" w:cs="Times New Roman"/>
              <w:sz w:val="24"/>
              <w:szCs w:val="24"/>
            </w:rPr>
            <w:fldChar w:fldCharType="begin"/>
          </w:r>
          <w:r w:rsidR="00AA165E" w:rsidRPr="00AA165E">
            <w:rPr>
              <w:rFonts w:ascii="Times New Roman" w:eastAsia="Times New Roman" w:hAnsi="Times New Roman" w:cs="Times New Roman"/>
              <w:sz w:val="24"/>
              <w:szCs w:val="24"/>
            </w:rPr>
            <w:instrText xml:space="preserve"> CITATION FACPCE \l 1033 </w:instrText>
          </w:r>
          <w:r w:rsidR="00AA165E">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(Federación Argentina de Consejos Profesionales de Ciencias Económicas, 2018)</w:t>
          </w:r>
          <w:r w:rsidR="00AA165E">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por un empalme de los siguientes índices:</w:t>
      </w:r>
    </w:p>
    <w:p w14:paraId="000000A1" w14:textId="73E694F0" w:rsidR="00E6009A" w:rsidRPr="00EA4C1F" w:rsidRDefault="00000000" w:rsidP="00EA4C1F">
      <w:pPr>
        <w:numPr>
          <w:ilvl w:val="0"/>
          <w:numId w:val="6"/>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Desde enero de 1993 hasta octubre de 2015: se utiliza el índice IPIM con base en el Índice de Precios del Consumidor (IPC) nacional de diciembre 2016, ambos publicados por el Instituto Nacional de Estadísticas y Censos de la República Argentina (INDEC).</w:t>
      </w:r>
    </w:p>
    <w:p w14:paraId="000000A2" w14:textId="085E245B" w:rsidR="00E6009A" w:rsidRPr="00EA4C1F" w:rsidRDefault="00000000" w:rsidP="00EA4C1F">
      <w:pPr>
        <w:numPr>
          <w:ilvl w:val="0"/>
          <w:numId w:val="6"/>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Desde noviembre 2015 hasta diciembre 2016: se utiliza el IPIM calculado por FACPCE de acuerdo con la Resolución </w:t>
      </w:r>
      <w:proofErr w:type="spellStart"/>
      <w:r w:rsidRPr="00EA4C1F">
        <w:rPr>
          <w:rFonts w:ascii="Times New Roman" w:eastAsia="Times New Roman" w:hAnsi="Times New Roman" w:cs="Times New Roman"/>
          <w:sz w:val="24"/>
          <w:szCs w:val="24"/>
        </w:rPr>
        <w:t>JGN°</w:t>
      </w:r>
      <w:proofErr w:type="spellEnd"/>
      <w:r w:rsidRPr="00EA4C1F">
        <w:rPr>
          <w:rFonts w:ascii="Times New Roman" w:eastAsia="Times New Roman" w:hAnsi="Times New Roman" w:cs="Times New Roman"/>
          <w:sz w:val="24"/>
          <w:szCs w:val="24"/>
        </w:rPr>
        <w:t xml:space="preserve"> </w:t>
      </w:r>
      <w:r w:rsidR="00AA165E" w:rsidRPr="00403D32">
        <w:rPr>
          <w:rFonts w:ascii="Times New Roman" w:eastAsia="Times New Roman" w:hAnsi="Times New Roman" w:cs="Times New Roman"/>
          <w:sz w:val="24"/>
          <w:szCs w:val="24"/>
        </w:rPr>
        <w:t>539/18</w:t>
      </w:r>
      <w:sdt>
        <w:sdtPr>
          <w:rPr>
            <w:rFonts w:ascii="Times New Roman" w:eastAsia="Times New Roman" w:hAnsi="Times New Roman" w:cs="Times New Roman"/>
            <w:sz w:val="24"/>
            <w:szCs w:val="24"/>
          </w:rPr>
          <w:id w:val="275144130"/>
          <w:citation/>
        </w:sdtPr>
        <w:sdtContent>
          <w:r w:rsidR="00AA165E">
            <w:rPr>
              <w:rFonts w:ascii="Times New Roman" w:eastAsia="Times New Roman" w:hAnsi="Times New Roman" w:cs="Times New Roman"/>
              <w:sz w:val="24"/>
              <w:szCs w:val="24"/>
            </w:rPr>
            <w:fldChar w:fldCharType="begin"/>
          </w:r>
          <w:r w:rsidR="00AA165E" w:rsidRPr="00AA165E">
            <w:rPr>
              <w:rFonts w:ascii="Times New Roman" w:eastAsia="Times New Roman" w:hAnsi="Times New Roman" w:cs="Times New Roman"/>
              <w:sz w:val="24"/>
              <w:szCs w:val="24"/>
            </w:rPr>
            <w:instrText xml:space="preserve"> CITATION FACPCE \l 1033 </w:instrText>
          </w:r>
          <w:r w:rsidR="00AA165E">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(Federación Argentina de Consejos Profesionales de Ciencias Económicas, 2018)</w:t>
          </w:r>
          <w:r w:rsidR="00AA165E">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con base en el IPC nacional de diciembre 2016</w:t>
      </w:r>
    </w:p>
    <w:p w14:paraId="000000A3" w14:textId="77777777" w:rsidR="00E6009A" w:rsidRPr="00EA4C1F" w:rsidRDefault="00000000" w:rsidP="00EA4C1F">
      <w:pPr>
        <w:numPr>
          <w:ilvl w:val="0"/>
          <w:numId w:val="6"/>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Desde enero 2017 en adelante: se utiliza el IPC nacional publicado por el INDEC</w:t>
      </w:r>
    </w:p>
    <w:p w14:paraId="000000A4" w14:textId="77777777" w:rsidR="00E6009A" w:rsidRPr="00EA4C1F" w:rsidRDefault="00000000" w:rsidP="00EA4C1F">
      <w:pPr>
        <w:pStyle w:val="Heading2"/>
        <w:numPr>
          <w:ilvl w:val="1"/>
          <w:numId w:val="3"/>
        </w:numPr>
        <w:spacing w:before="0" w:line="480" w:lineRule="auto"/>
        <w:jc w:val="both"/>
        <w:rPr>
          <w:rFonts w:ascii="Times New Roman" w:eastAsia="Times New Roman" w:hAnsi="Times New Roman" w:cs="Times New Roman"/>
        </w:rPr>
      </w:pPr>
      <w:bookmarkStart w:id="19" w:name="_Toc221446740"/>
      <w:r w:rsidRPr="00EA4C1F">
        <w:rPr>
          <w:rFonts w:ascii="Times New Roman" w:eastAsia="Times New Roman" w:hAnsi="Times New Roman" w:cs="Times New Roman"/>
        </w:rPr>
        <w:t>Preprocesamiento de datos</w:t>
      </w:r>
      <w:bookmarkEnd w:id="19"/>
    </w:p>
    <w:p w14:paraId="000000A5" w14:textId="0DF52356"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Antes de realizar el análisis, se llevó a cabo un proceso de Extracción, Transformación y Carga (ETL). En primer lugar, se unificó la información proveniente de todas las pestañas del archivo original en una única tabla consolidada. Posteriormente, filtró por los </w:t>
      </w:r>
      <w:proofErr w:type="spellStart"/>
      <w:r w:rsidR="00B97721"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pertenecientes a RC y se</w:t>
      </w:r>
      <w:r w:rsidR="00012272">
        <w:rPr>
          <w:rFonts w:ascii="Times New Roman" w:eastAsia="Times New Roman" w:hAnsi="Times New Roman" w:cs="Times New Roman"/>
          <w:sz w:val="24"/>
          <w:szCs w:val="24"/>
        </w:rPr>
        <w:t xml:space="preserve"> utilizó el índice FACPCE para</w:t>
      </w:r>
      <w:r w:rsidRPr="00EA4C1F">
        <w:rPr>
          <w:rFonts w:ascii="Times New Roman" w:eastAsia="Times New Roman" w:hAnsi="Times New Roman" w:cs="Times New Roman"/>
          <w:sz w:val="24"/>
          <w:szCs w:val="24"/>
        </w:rPr>
        <w:t xml:space="preserve"> calcul</w:t>
      </w:r>
      <w:r w:rsidR="00012272">
        <w:rPr>
          <w:rFonts w:ascii="Times New Roman" w:eastAsia="Times New Roman" w:hAnsi="Times New Roman" w:cs="Times New Roman"/>
          <w:sz w:val="24"/>
          <w:szCs w:val="24"/>
        </w:rPr>
        <w:t>ar</w:t>
      </w:r>
      <w:r w:rsidRPr="00EA4C1F">
        <w:rPr>
          <w:rFonts w:ascii="Times New Roman" w:eastAsia="Times New Roman" w:hAnsi="Times New Roman" w:cs="Times New Roman"/>
          <w:sz w:val="24"/>
          <w:szCs w:val="24"/>
        </w:rPr>
        <w:t xml:space="preserve"> el factor de ajuste por inflación, mediante la </w:t>
      </w:r>
      <w:r w:rsidR="00F778F2">
        <w:rPr>
          <w:rFonts w:ascii="Times New Roman" w:eastAsia="Times New Roman" w:hAnsi="Times New Roman" w:cs="Times New Roman"/>
          <w:sz w:val="24"/>
          <w:szCs w:val="24"/>
        </w:rPr>
        <w:t>Ecuación 1</w:t>
      </w:r>
      <w:r w:rsidRPr="00EA4C1F">
        <w:rPr>
          <w:rFonts w:ascii="Times New Roman" w:eastAsia="Times New Roman" w:hAnsi="Times New Roman" w:cs="Times New Roman"/>
          <w:sz w:val="24"/>
          <w:szCs w:val="24"/>
        </w:rPr>
        <w:t>:</w:t>
      </w:r>
    </w:p>
    <w:p w14:paraId="000000A6" w14:textId="3D9E3744" w:rsidR="00E6009A" w:rsidRPr="00F778F2" w:rsidRDefault="00000000" w:rsidP="00AA165E">
      <w:pPr>
        <w:pStyle w:val="Caption"/>
        <w:keepNext/>
        <w:rPr>
          <w:rFonts w:ascii="Times New Roman" w:eastAsia="Times New Roman" w:hAnsi="Times New Roman" w:cs="Times New Roman"/>
          <w:i w:val="0"/>
          <w:sz w:val="24"/>
          <w:szCs w:val="24"/>
        </w:rPr>
      </w:pPr>
      <m:oMathPara>
        <m:oMath>
          <m:eqArr>
            <m:eqArrPr>
              <m:maxDist m:val="1"/>
              <m:ctrlPr>
                <w:rPr>
                  <w:rFonts w:ascii="Cambria Math" w:eastAsia="Times New Roman" w:hAnsi="Cambria Math" w:cs="Times New Roman"/>
                  <w:i w:val="0"/>
                  <w:sz w:val="24"/>
                  <w:szCs w:val="24"/>
                </w:rPr>
              </m:ctrlPr>
            </m:eqArrPr>
            <m:e>
              <m:r>
                <w:rPr>
                  <w:rFonts w:ascii="Cambria Math" w:eastAsia="Times New Roman" w:hAnsi="Cambria Math" w:cs="Times New Roman"/>
                  <w:sz w:val="24"/>
                  <w:szCs w:val="24"/>
                </w:rPr>
                <m:t>Factor de ajust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 xml:space="preserve"> =</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FACPC</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m:t>
                      </m:r>
                    </m:sub>
                  </m:sSub>
                </m:num>
                <m:den>
                  <m:r>
                    <w:rPr>
                      <w:rFonts w:ascii="Cambria Math" w:eastAsia="Times New Roman" w:hAnsi="Cambria Math" w:cs="Times New Roman"/>
                      <w:sz w:val="24"/>
                      <w:szCs w:val="24"/>
                    </w:rPr>
                    <m:t>FACPC</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t-n</m:t>
                          </m:r>
                          <m:ctrlPr>
                            <w:rPr>
                              <w:rFonts w:ascii="Cambria Math" w:hAnsi="Cambria Math" w:cs="Times New Roman"/>
                              <w:sz w:val="24"/>
                              <w:szCs w:val="24"/>
                            </w:rPr>
                          </m:ctrlPr>
                        </m:e>
                      </m:d>
                    </m:sub>
                  </m:sSub>
                </m:den>
              </m:f>
              <m:r>
                <w:rPr>
                  <w:rFonts w:ascii="Cambria Math" w:eastAsia="Times New Roman" w:hAnsi="Cambria Math" w:cs="Times New Roman"/>
                  <w:sz w:val="24"/>
                  <w:szCs w:val="24"/>
                </w:rPr>
                <m:t xml:space="preserve"> #</m:t>
              </m:r>
              <m:d>
                <m:dPr>
                  <m:ctrlPr>
                    <w:rPr>
                      <w:rFonts w:ascii="Cambria Math" w:eastAsia="Times New Roman" w:hAnsi="Cambria Math" w:cs="Times New Roman"/>
                      <w:i w:val="0"/>
                      <w:sz w:val="24"/>
                      <w:szCs w:val="24"/>
                    </w:rPr>
                  </m:ctrlPr>
                </m:dPr>
                <m:e>
                  <m:r>
                    <w:rPr>
                      <w:rFonts w:ascii="Cambria Math" w:eastAsia="Times New Roman" w:hAnsi="Cambria Math" w:cs="Times New Roman"/>
                      <w:sz w:val="24"/>
                      <w:szCs w:val="24"/>
                    </w:rPr>
                    <m:t>1</m:t>
                  </m:r>
                </m:e>
              </m:d>
              <m:ctrlPr>
                <w:rPr>
                  <w:rFonts w:ascii="Cambria Math" w:eastAsia="Times New Roman" w:hAnsi="Cambria Math" w:cs="Times New Roman"/>
                  <w:sz w:val="24"/>
                  <w:szCs w:val="24"/>
                </w:rPr>
              </m:ctrlPr>
            </m:e>
          </m:eqArr>
          <m:r>
            <w:rPr>
              <w:rFonts w:ascii="Cambria Math" w:eastAsia="Times New Roman" w:hAnsi="Cambria Math" w:cs="Times New Roman"/>
              <w:sz w:val="24"/>
              <w:szCs w:val="24"/>
            </w:rPr>
            <m:t xml:space="preserve"> </m:t>
          </m:r>
        </m:oMath>
      </m:oMathPara>
    </w:p>
    <w:p w14:paraId="6EF9F0D5" w14:textId="77777777" w:rsidR="00012272" w:rsidRDefault="00012272" w:rsidP="00EA4C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EA4C1F">
        <w:rPr>
          <w:rFonts w:ascii="Times New Roman" w:eastAsia="Times New Roman" w:hAnsi="Times New Roman" w:cs="Times New Roman"/>
          <w:sz w:val="24"/>
          <w:szCs w:val="24"/>
        </w:rPr>
        <w:t>onde</w:t>
      </w:r>
      <w:r>
        <w:rPr>
          <w:rFonts w:ascii="Times New Roman" w:eastAsia="Times New Roman" w:hAnsi="Times New Roman" w:cs="Times New Roman"/>
          <w:sz w:val="24"/>
          <w:szCs w:val="24"/>
        </w:rPr>
        <w:t>:</w:t>
      </w:r>
    </w:p>
    <w:p w14:paraId="66DF2BEE" w14:textId="26E03875" w:rsidR="00012272" w:rsidRDefault="00000000" w:rsidP="00012272">
      <w:pPr>
        <w:pStyle w:val="ListParagraph"/>
        <w:numPr>
          <w:ilvl w:val="0"/>
          <w:numId w:val="16"/>
        </w:numPr>
        <w:spacing w:before="240" w:after="240" w:line="480" w:lineRule="auto"/>
        <w:jc w:val="both"/>
        <w:rPr>
          <w:rFonts w:ascii="Times New Roman" w:eastAsia="Times New Roman" w:hAnsi="Times New Roman" w:cs="Times New Roman"/>
          <w:sz w:val="24"/>
          <w:szCs w:val="24"/>
        </w:rPr>
      </w:pPr>
      <w:r w:rsidRPr="00012272">
        <w:rPr>
          <w:rFonts w:ascii="Times New Roman" w:eastAsia="Times New Roman" w:hAnsi="Times New Roman" w:cs="Times New Roman"/>
          <w:color w:val="EE0000"/>
          <w:sz w:val="24"/>
          <w:szCs w:val="24"/>
        </w:rPr>
        <w:t xml:space="preserve"> </w:t>
      </w:r>
      <m:oMath>
        <m:r>
          <w:rPr>
            <w:rFonts w:ascii="Cambria Math" w:eastAsia="Times New Roman" w:hAnsi="Cambria Math" w:cs="Times New Roman"/>
            <w:sz w:val="24"/>
            <w:szCs w:val="24"/>
          </w:rPr>
          <m:t>FACPC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m:t>
            </m:r>
          </m:sub>
        </m:sSub>
      </m:oMath>
      <w:r w:rsidR="00012272" w:rsidRPr="00012272">
        <w:rPr>
          <w:rFonts w:ascii="Times New Roman" w:eastAsia="Times New Roman" w:hAnsi="Times New Roman" w:cs="Times New Roman"/>
          <w:sz w:val="24"/>
          <w:szCs w:val="24"/>
        </w:rPr>
        <w:t xml:space="preserve"> </w:t>
      </w:r>
      <w:r w:rsidRPr="00012272">
        <w:rPr>
          <w:rFonts w:ascii="Times New Roman" w:eastAsia="Times New Roman" w:hAnsi="Times New Roman" w:cs="Times New Roman"/>
          <w:sz w:val="24"/>
          <w:szCs w:val="24"/>
        </w:rPr>
        <w:t xml:space="preserve">corresponde al índice de precios del período de </w:t>
      </w:r>
      <w:r w:rsidR="00012272">
        <w:rPr>
          <w:rFonts w:ascii="Times New Roman" w:eastAsia="Times New Roman" w:hAnsi="Times New Roman" w:cs="Times New Roman"/>
          <w:color w:val="000000" w:themeColor="text1"/>
          <w:sz w:val="24"/>
          <w:szCs w:val="24"/>
        </w:rPr>
        <w:t xml:space="preserve">enero </w:t>
      </w:r>
      <w:r w:rsidRPr="00012272">
        <w:rPr>
          <w:rFonts w:ascii="Times New Roman" w:eastAsia="Times New Roman" w:hAnsi="Times New Roman" w:cs="Times New Roman"/>
          <w:color w:val="000000" w:themeColor="text1"/>
          <w:sz w:val="24"/>
          <w:szCs w:val="24"/>
        </w:rPr>
        <w:t>2024</w:t>
      </w:r>
    </w:p>
    <w:p w14:paraId="14D2C901" w14:textId="77777777" w:rsidR="00012272" w:rsidRDefault="00012272" w:rsidP="00012272">
      <w:pPr>
        <w:pStyle w:val="ListParagraph"/>
        <w:numPr>
          <w:ilvl w:val="0"/>
          <w:numId w:val="16"/>
        </w:numPr>
        <w:spacing w:before="240" w:after="240"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w:lastRenderedPageBreak/>
          <m:t>FACPC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t-n</m:t>
            </m:r>
          </m:sub>
        </m:sSub>
      </m:oMath>
      <w:r w:rsidRPr="000122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corresponde </w:t>
      </w:r>
      <w:r w:rsidRPr="00012272">
        <w:rPr>
          <w:rFonts w:ascii="Times New Roman" w:eastAsia="Times New Roman" w:hAnsi="Times New Roman" w:cs="Times New Roman"/>
          <w:sz w:val="24"/>
          <w:szCs w:val="24"/>
        </w:rPr>
        <w:t xml:space="preserve">al índice del período original del dato. </w:t>
      </w:r>
    </w:p>
    <w:p w14:paraId="000000A7" w14:textId="0E74ADE1" w:rsidR="00E6009A" w:rsidRPr="00012272" w:rsidRDefault="00000000" w:rsidP="00012272">
      <w:pPr>
        <w:spacing w:before="240" w:after="240" w:line="480" w:lineRule="auto"/>
        <w:jc w:val="both"/>
        <w:rPr>
          <w:rFonts w:ascii="Times New Roman" w:eastAsia="Times New Roman" w:hAnsi="Times New Roman" w:cs="Times New Roman"/>
          <w:sz w:val="24"/>
          <w:szCs w:val="24"/>
        </w:rPr>
      </w:pPr>
      <w:r w:rsidRPr="00012272">
        <w:rPr>
          <w:rFonts w:ascii="Times New Roman" w:eastAsia="Times New Roman" w:hAnsi="Times New Roman" w:cs="Times New Roman"/>
          <w:sz w:val="24"/>
          <w:szCs w:val="24"/>
        </w:rPr>
        <w:t>Este factor se aplicó a los montos de siniestros con el fin de expresarlos en valores homogéneos y comparables. Finalmente, la base resultante fue exportada a un archivo CSV, la cual posee la estructura</w:t>
      </w:r>
      <w:r w:rsidR="00F778F2">
        <w:rPr>
          <w:rFonts w:ascii="Times New Roman" w:eastAsia="Times New Roman" w:hAnsi="Times New Roman" w:cs="Times New Roman"/>
          <w:sz w:val="24"/>
          <w:szCs w:val="24"/>
        </w:rPr>
        <w:t xml:space="preserve"> descripta en la Tabla 1</w:t>
      </w:r>
      <w:r w:rsidRPr="00012272">
        <w:rPr>
          <w:rFonts w:ascii="Times New Roman" w:eastAsia="Times New Roman" w:hAnsi="Times New Roman" w:cs="Times New Roman"/>
          <w:sz w:val="24"/>
          <w:szCs w:val="24"/>
        </w:rPr>
        <w:t>:</w:t>
      </w:r>
    </w:p>
    <w:p w14:paraId="5216327A" w14:textId="20878174" w:rsidR="00F778F2" w:rsidRDefault="009D5399" w:rsidP="004B20FD">
      <w:pPr>
        <w:keepNext/>
        <w:spacing w:before="240" w:after="0" w:line="480" w:lineRule="auto"/>
      </w:pPr>
      <w:r w:rsidRPr="009D5399">
        <w:rPr>
          <w:rFonts w:ascii="Times New Roman" w:hAnsi="Times New Roman" w:cs="Times New Roman"/>
          <w:noProof/>
        </w:rPr>
        <w:drawing>
          <wp:inline distT="0" distB="0" distL="0" distR="0" wp14:anchorId="73EDEB37" wp14:editId="7D8111BE">
            <wp:extent cx="3550920" cy="3284220"/>
            <wp:effectExtent l="0" t="0" r="0" b="0"/>
            <wp:docPr id="277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0830" name=""/>
                    <pic:cNvPicPr/>
                  </pic:nvPicPr>
                  <pic:blipFill>
                    <a:blip r:embed="rId15">
                      <a:extLst>
                        <a:ext uri="{28A0092B-C50C-407E-A947-70E740481C1C}">
                          <a14:useLocalDpi xmlns:a14="http://schemas.microsoft.com/office/drawing/2010/main" val="0"/>
                        </a:ext>
                      </a:extLst>
                    </a:blip>
                    <a:stretch>
                      <a:fillRect/>
                    </a:stretch>
                  </pic:blipFill>
                  <pic:spPr>
                    <a:xfrm>
                      <a:off x="0" y="0"/>
                      <a:ext cx="3550920" cy="3284220"/>
                    </a:xfrm>
                    <a:prstGeom prst="rect">
                      <a:avLst/>
                    </a:prstGeom>
                  </pic:spPr>
                </pic:pic>
              </a:graphicData>
            </a:graphic>
          </wp:inline>
        </w:drawing>
      </w:r>
    </w:p>
    <w:p w14:paraId="000000A8" w14:textId="188AF33A" w:rsidR="00E6009A" w:rsidRPr="00EA4C1F" w:rsidRDefault="00F778F2" w:rsidP="004B20FD">
      <w:pPr>
        <w:pStyle w:val="Caption"/>
        <w:rPr>
          <w:rFonts w:ascii="Times New Roman" w:eastAsia="Times New Roman" w:hAnsi="Times New Roman" w:cs="Times New Roman"/>
          <w:sz w:val="24"/>
          <w:szCs w:val="24"/>
        </w:rPr>
      </w:pPr>
      <w:r>
        <w:t xml:space="preserve">Tabla </w:t>
      </w:r>
      <w:fldSimple w:instr=" SEQ Tabla \* ARABIC ">
        <w:r w:rsidR="000E27CD">
          <w:rPr>
            <w:noProof/>
          </w:rPr>
          <w:t>1</w:t>
        </w:r>
      </w:fldSimple>
      <w:r>
        <w:t xml:space="preserve">: Descripción de base de datos de </w:t>
      </w:r>
      <w:proofErr w:type="spellStart"/>
      <w:r>
        <w:t>sineistros</w:t>
      </w:r>
      <w:proofErr w:type="spellEnd"/>
    </w:p>
    <w:p w14:paraId="000000A9" w14:textId="77777777" w:rsidR="00E6009A" w:rsidRPr="00EA4C1F" w:rsidRDefault="00000000" w:rsidP="00EA4C1F">
      <w:pPr>
        <w:pStyle w:val="Heading2"/>
        <w:numPr>
          <w:ilvl w:val="1"/>
          <w:numId w:val="3"/>
        </w:numPr>
        <w:spacing w:line="480" w:lineRule="auto"/>
        <w:jc w:val="both"/>
        <w:rPr>
          <w:rFonts w:ascii="Times New Roman" w:eastAsia="Times New Roman" w:hAnsi="Times New Roman" w:cs="Times New Roman"/>
        </w:rPr>
      </w:pPr>
      <w:r w:rsidRPr="00EA4C1F">
        <w:rPr>
          <w:rFonts w:ascii="Times New Roman" w:eastAsia="Times New Roman" w:hAnsi="Times New Roman" w:cs="Times New Roman"/>
        </w:rPr>
        <w:t xml:space="preserve"> </w:t>
      </w:r>
      <w:bookmarkStart w:id="20" w:name="_Toc221446741"/>
      <w:r w:rsidRPr="00EA4C1F">
        <w:rPr>
          <w:rFonts w:ascii="Times New Roman" w:eastAsia="Times New Roman" w:hAnsi="Times New Roman" w:cs="Times New Roman"/>
        </w:rPr>
        <w:t>Metodología RGAA</w:t>
      </w:r>
      <w:bookmarkEnd w:id="20"/>
    </w:p>
    <w:p w14:paraId="000000AA" w14:textId="1D2E0680"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metodología establecida por el RGAA</w:t>
      </w:r>
      <w:sdt>
        <w:sdtPr>
          <w:rPr>
            <w:rFonts w:ascii="Times New Roman" w:eastAsia="Times New Roman" w:hAnsi="Times New Roman" w:cs="Times New Roman"/>
            <w:sz w:val="24"/>
            <w:szCs w:val="24"/>
          </w:rPr>
          <w:id w:val="1330253950"/>
          <w:citation/>
        </w:sdtPr>
        <w:sdtContent>
          <w:r w:rsidR="00F778F2">
            <w:rPr>
              <w:rFonts w:ascii="Times New Roman" w:eastAsia="Times New Roman" w:hAnsi="Times New Roman" w:cs="Times New Roman"/>
              <w:sz w:val="24"/>
              <w:szCs w:val="24"/>
            </w:rPr>
            <w:fldChar w:fldCharType="begin"/>
          </w:r>
          <w:r w:rsidR="00F778F2" w:rsidRPr="00F778F2">
            <w:rPr>
              <w:rFonts w:ascii="Times New Roman" w:eastAsia="Times New Roman" w:hAnsi="Times New Roman" w:cs="Times New Roman"/>
              <w:sz w:val="24"/>
              <w:szCs w:val="24"/>
            </w:rPr>
            <w:instrText xml:space="preserve"> CITATION RGAA \l 1033 </w:instrText>
          </w:r>
          <w:r w:rsidR="00F778F2">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F778F2">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define un procedimiento estandarizado para la estimación de las reservas por siniestros IBNR. El enfoque se basa en un esquema determinista sobre el cual se aplican ajustes dadas ciertas características de segmentación. El proceso se describe a continuación</w:t>
      </w:r>
      <w:r w:rsidR="00F778F2">
        <w:rPr>
          <w:rFonts w:ascii="Times New Roman" w:eastAsia="Times New Roman" w:hAnsi="Times New Roman" w:cs="Times New Roman"/>
          <w:sz w:val="24"/>
          <w:szCs w:val="24"/>
        </w:rPr>
        <w:t>.</w:t>
      </w:r>
    </w:p>
    <w:p w14:paraId="000000AB" w14:textId="77777777" w:rsidR="00E6009A" w:rsidRPr="00EA4C1F" w:rsidRDefault="00000000" w:rsidP="00EA4C1F">
      <w:pPr>
        <w:pStyle w:val="Heading3"/>
        <w:numPr>
          <w:ilvl w:val="2"/>
          <w:numId w:val="3"/>
        </w:numPr>
        <w:spacing w:line="480" w:lineRule="auto"/>
        <w:ind w:hanging="360"/>
        <w:jc w:val="both"/>
        <w:rPr>
          <w:rFonts w:ascii="Times New Roman" w:eastAsia="Times New Roman" w:hAnsi="Times New Roman" w:cs="Times New Roman"/>
        </w:rPr>
      </w:pPr>
      <w:bookmarkStart w:id="21" w:name="_Toc221446742"/>
      <w:r w:rsidRPr="00EA4C1F">
        <w:rPr>
          <w:rFonts w:ascii="Times New Roman" w:eastAsia="Times New Roman" w:hAnsi="Times New Roman" w:cs="Times New Roman"/>
        </w:rPr>
        <w:lastRenderedPageBreak/>
        <w:t xml:space="preserve">Actualización y </w:t>
      </w:r>
      <w:sdt>
        <w:sdtPr>
          <w:rPr>
            <w:rFonts w:ascii="Times New Roman" w:hAnsi="Times New Roman" w:cs="Times New Roman"/>
          </w:rPr>
          <w:tag w:val="goog_rdk_18"/>
          <w:id w:val="513579302"/>
        </w:sdtPr>
        <w:sdtContent/>
      </w:sdt>
      <w:sdt>
        <w:sdtPr>
          <w:rPr>
            <w:rFonts w:ascii="Times New Roman" w:hAnsi="Times New Roman" w:cs="Times New Roman"/>
          </w:rPr>
          <w:tag w:val="goog_rdk_19"/>
          <w:id w:val="-269736622"/>
        </w:sdtPr>
        <w:sdtContent/>
      </w:sdt>
      <w:r w:rsidRPr="00EA4C1F">
        <w:rPr>
          <w:rFonts w:ascii="Times New Roman" w:eastAsia="Times New Roman" w:hAnsi="Times New Roman" w:cs="Times New Roman"/>
        </w:rPr>
        <w:t>exclusión de siniestros</w:t>
      </w:r>
      <w:bookmarkEnd w:id="21"/>
    </w:p>
    <w:p w14:paraId="000000AC" w14:textId="306BFE8D"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primer paso, el RGAA </w:t>
      </w:r>
      <w:sdt>
        <w:sdtPr>
          <w:rPr>
            <w:rFonts w:ascii="Times New Roman" w:eastAsia="Times New Roman" w:hAnsi="Times New Roman" w:cs="Times New Roman"/>
            <w:sz w:val="24"/>
            <w:szCs w:val="24"/>
          </w:rPr>
          <w:id w:val="1697195486"/>
          <w:citation/>
        </w:sdtPr>
        <w:sdtContent>
          <w:r w:rsidR="00F778F2">
            <w:rPr>
              <w:rFonts w:ascii="Times New Roman" w:eastAsia="Times New Roman" w:hAnsi="Times New Roman" w:cs="Times New Roman"/>
              <w:sz w:val="24"/>
              <w:szCs w:val="24"/>
            </w:rPr>
            <w:fldChar w:fldCharType="begin"/>
          </w:r>
          <w:r w:rsidR="00F778F2" w:rsidRPr="00F778F2">
            <w:rPr>
              <w:rFonts w:ascii="Times New Roman" w:eastAsia="Times New Roman" w:hAnsi="Times New Roman" w:cs="Times New Roman"/>
              <w:sz w:val="24"/>
              <w:szCs w:val="24"/>
            </w:rPr>
            <w:instrText xml:space="preserve"> CITATION RGAA \l 1033 </w:instrText>
          </w:r>
          <w:r w:rsidR="00F778F2">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(Superintendencia de Seguros de la Nación, 2014)</w:t>
          </w:r>
          <w:r w:rsidR="00F778F2">
            <w:rPr>
              <w:rFonts w:ascii="Times New Roman" w:eastAsia="Times New Roman" w:hAnsi="Times New Roman" w:cs="Times New Roman"/>
              <w:sz w:val="24"/>
              <w:szCs w:val="24"/>
            </w:rPr>
            <w:fldChar w:fldCharType="end"/>
          </w:r>
        </w:sdtContent>
      </w:sdt>
      <w:r w:rsidR="00F778F2">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define el concepto de “siniestros incurridos por período de ocurrencia a una determinada fecha” como la suma de:</w:t>
      </w:r>
    </w:p>
    <w:p w14:paraId="000000AD" w14:textId="77777777" w:rsidR="00E6009A" w:rsidRPr="00EA4C1F" w:rsidRDefault="00000000" w:rsidP="00EA4C1F">
      <w:pPr>
        <w:numPr>
          <w:ilvl w:val="0"/>
          <w:numId w:val="11"/>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Los pagos netos de </w:t>
      </w:r>
      <w:proofErr w:type="spellStart"/>
      <w:r w:rsidRPr="00EA4C1F">
        <w:rPr>
          <w:rFonts w:ascii="Times New Roman" w:eastAsia="Times New Roman" w:hAnsi="Times New Roman" w:cs="Times New Roman"/>
          <w:sz w:val="24"/>
          <w:szCs w:val="24"/>
        </w:rPr>
        <w:t>recuperos</w:t>
      </w:r>
      <w:proofErr w:type="spellEnd"/>
      <w:r w:rsidRPr="00EA4C1F">
        <w:rPr>
          <w:rFonts w:ascii="Times New Roman" w:eastAsia="Times New Roman" w:hAnsi="Times New Roman" w:cs="Times New Roman"/>
          <w:sz w:val="24"/>
          <w:szCs w:val="24"/>
        </w:rPr>
        <w:t xml:space="preserve"> de cada uno de los siniestros que ocurrieron durante un período de 12 meses, valuados y acumulados, a cierre del ejercicio aplicando la serie del índice FACPCE, sin descontar la participación de los reaseguradores.</w:t>
      </w:r>
    </w:p>
    <w:p w14:paraId="000000AE" w14:textId="77777777" w:rsidR="00E6009A" w:rsidRPr="00EA4C1F" w:rsidRDefault="00000000" w:rsidP="00EA4C1F">
      <w:pPr>
        <w:numPr>
          <w:ilvl w:val="0"/>
          <w:numId w:val="13"/>
        </w:num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Los pasivos por siniestros pendientes -valuados a cierre de su ejercicio y/o período-, de todos los siniestros que ocurrieron durante el mismo período de 12 meses, sin descontar la participación de los reaseguradores.</w:t>
      </w:r>
    </w:p>
    <w:p w14:paraId="75D98DD2" w14:textId="212E415D" w:rsidR="009D5399"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El cálculo para llegar a este </w:t>
      </w:r>
      <w:r w:rsidR="00176D78" w:rsidRPr="00EA4C1F">
        <w:rPr>
          <w:rFonts w:ascii="Times New Roman" w:eastAsia="Times New Roman" w:hAnsi="Times New Roman" w:cs="Times New Roman"/>
          <w:sz w:val="24"/>
          <w:szCs w:val="24"/>
        </w:rPr>
        <w:t>valor</w:t>
      </w:r>
      <w:r w:rsidRPr="00EA4C1F">
        <w:rPr>
          <w:rFonts w:ascii="Times New Roman" w:eastAsia="Times New Roman" w:hAnsi="Times New Roman" w:cs="Times New Roman"/>
          <w:sz w:val="24"/>
          <w:szCs w:val="24"/>
        </w:rPr>
        <w:t xml:space="preserve"> se hace a través del factor de ajuste por inflación, calculado en el apartado anterior. Al contar con una base de datos de siniestros agregados por año de ocurrencia y periodo de desarrollo, la fórmula de aplicación es la siguiente</w:t>
      </w:r>
      <w:r w:rsidR="00F778F2">
        <w:rPr>
          <w:rFonts w:ascii="Times New Roman" w:eastAsia="Times New Roman" w:hAnsi="Times New Roman" w:cs="Times New Roman"/>
          <w:sz w:val="24"/>
          <w:szCs w:val="24"/>
        </w:rPr>
        <w:t xml:space="preserve"> (Ecuación 2)</w:t>
      </w:r>
      <w:r w:rsidRPr="00EA4C1F">
        <w:rPr>
          <w:rFonts w:ascii="Times New Roman" w:eastAsia="Times New Roman" w:hAnsi="Times New Roman" w:cs="Times New Roman"/>
          <w:sz w:val="24"/>
          <w:szCs w:val="24"/>
        </w:rPr>
        <w:t>:</w:t>
      </w:r>
    </w:p>
    <w:p w14:paraId="2DE8762E" w14:textId="4A0A9B80" w:rsidR="00F778F2" w:rsidRPr="00F778F2" w:rsidRDefault="00000000" w:rsidP="00F778F2">
      <w:pPr>
        <w:spacing w:after="0" w:line="480" w:lineRule="auto"/>
        <w:jc w:val="both"/>
        <w:rPr>
          <w:rFonts w:ascii="Times New Roman" w:eastAsia="Times New Roman" w:hAnsi="Times New Roman" w:cs="Times New Roman"/>
          <w:sz w:val="24"/>
          <w:szCs w:val="24"/>
          <w:lang w:val="en-US"/>
        </w:rPr>
      </w:pPr>
      <m:oMathPara>
        <m:oMath>
          <m:eqArr>
            <m:eqArrPr>
              <m:maxDist m:val="1"/>
              <m:ctrlPr>
                <w:rPr>
                  <w:rFonts w:ascii="Cambria Math" w:eastAsia="Times New Roman" w:hAnsi="Cambria Math" w:cs="Times New Roman"/>
                  <w:i/>
                  <w:sz w:val="24"/>
                  <w:szCs w:val="24"/>
                  <w:lang w:val="en-US"/>
                </w:rPr>
              </m:ctrlPr>
            </m:eqArrPr>
            <m:e>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StoInc</m:t>
                  </m:r>
                </m:e>
                <m:sub>
                  <m:r>
                    <w:rPr>
                      <w:rFonts w:ascii="Cambria Math" w:eastAsia="Times New Roman" w:hAnsi="Cambria Math" w:cs="Times New Roman"/>
                      <w:sz w:val="24"/>
                      <w:szCs w:val="24"/>
                      <w:lang w:val="en-US"/>
                    </w:rPr>
                    <m:t>i,j</m:t>
                  </m:r>
                </m:sub>
                <m:sup>
                  <m:r>
                    <w:rPr>
                      <w:rFonts w:ascii="Cambria Math" w:eastAsia="Times New Roman" w:hAnsi="Cambria Math" w:cs="Times New Roman"/>
                      <w:sz w:val="24"/>
                      <w:szCs w:val="24"/>
                      <w:lang w:val="en-US"/>
                    </w:rPr>
                    <m:t>jun2024</m:t>
                  </m:r>
                </m:sup>
              </m:sSubSup>
              <m:r>
                <w:rPr>
                  <w:rFonts w:ascii="Cambria Math" w:eastAsia="Times New Roman" w:hAnsi="Cambria Math" w:cs="Times New Roman"/>
                  <w:sz w:val="24"/>
                  <w:szCs w:val="24"/>
                  <w:lang w:val="es-ES"/>
                </w:rPr>
                <m:t xml:space="preserve"> = </m:t>
              </m:r>
              <m:r>
                <w:rPr>
                  <w:rFonts w:ascii="Cambria Math" w:eastAsia="Times New Roman" w:hAnsi="Cambria Math" w:cs="Times New Roman"/>
                  <w:sz w:val="24"/>
                  <w:szCs w:val="24"/>
                  <w:lang w:val="en-US"/>
                </w:rPr>
                <m:t>Factor</m:t>
              </m:r>
              <m:r>
                <w:rPr>
                  <w:rFonts w:ascii="Cambria Math" w:eastAsia="Times New Roman" w:hAnsi="Cambria Math" w:cs="Times New Roman"/>
                  <w:sz w:val="24"/>
                  <w:szCs w:val="24"/>
                </w:rPr>
                <m:t xml:space="preserve"> </m:t>
              </m:r>
              <m:r>
                <w:rPr>
                  <w:rFonts w:ascii="Cambria Math" w:eastAsia="Times New Roman" w:hAnsi="Cambria Math" w:cs="Times New Roman"/>
                  <w:sz w:val="24"/>
                  <w:szCs w:val="24"/>
                  <w:lang w:val="en-US"/>
                </w:rPr>
                <m:t>de</m:t>
              </m:r>
              <m:r>
                <w:rPr>
                  <w:rFonts w:ascii="Cambria Math" w:eastAsia="Times New Roman" w:hAnsi="Cambria Math" w:cs="Times New Roman"/>
                  <w:sz w:val="24"/>
                  <w:szCs w:val="24"/>
                </w:rPr>
                <m:t xml:space="preserve"> </m:t>
              </m:r>
              <m:r>
                <w:rPr>
                  <w:rFonts w:ascii="Cambria Math" w:eastAsia="Times New Roman" w:hAnsi="Cambria Math" w:cs="Times New Roman"/>
                  <w:sz w:val="24"/>
                  <w:szCs w:val="24"/>
                  <w:lang w:val="en-US"/>
                </w:rPr>
                <m:t>Ajust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e</m:t>
                  </m:r>
                </m:e>
                <m:sub>
                  <m:r>
                    <w:rPr>
                      <w:rFonts w:ascii="Cambria Math" w:eastAsia="Times New Roman" w:hAnsi="Cambria Math" w:cs="Times New Roman"/>
                      <w:sz w:val="24"/>
                      <w:szCs w:val="24"/>
                      <w:lang w:val="en-US"/>
                    </w:rPr>
                    <m:t>t</m:t>
                  </m:r>
                </m:sub>
              </m:sSub>
              <m:r>
                <w:rPr>
                  <w:rFonts w:ascii="Cambria Math" w:eastAsia="Times New Roman" w:hAnsi="Cambria Math" w:cs="Times New Roman"/>
                  <w:sz w:val="24"/>
                  <w:szCs w:val="24"/>
                  <w:lang w:val="es-ES"/>
                </w:rPr>
                <m:t xml:space="preserve"> * </m:t>
              </m:r>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StoInc</m:t>
                  </m:r>
                </m:e>
                <m:sub>
                  <m:r>
                    <w:rPr>
                      <w:rFonts w:ascii="Cambria Math" w:eastAsia="Times New Roman" w:hAnsi="Cambria Math" w:cs="Times New Roman"/>
                      <w:sz w:val="24"/>
                      <w:szCs w:val="24"/>
                      <w:lang w:val="en-US"/>
                    </w:rPr>
                    <m:t>i,j</m:t>
                  </m:r>
                </m:sub>
                <m:sup>
                  <m:r>
                    <w:rPr>
                      <w:rFonts w:ascii="Cambria Math" w:eastAsia="Times New Roman" w:hAnsi="Cambria Math" w:cs="Times New Roman"/>
                      <w:sz w:val="24"/>
                      <w:szCs w:val="24"/>
                      <w:lang w:val="en-US"/>
                    </w:rPr>
                    <m:t>t</m:t>
                  </m:r>
                </m:sup>
              </m:sSubSup>
              <m:r>
                <w:rPr>
                  <w:rFonts w:ascii="Cambria Math" w:eastAsia="Times New Roman" w:hAnsi="Cambria Math" w:cs="Times New Roman"/>
                  <w:sz w:val="24"/>
                  <w:szCs w:val="24"/>
                  <w:lang w:val="en-US"/>
                </w:rPr>
                <m:t xml:space="preserve"> #</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2</m:t>
                  </m:r>
                </m:e>
              </m:d>
            </m:e>
          </m:eqArr>
        </m:oMath>
      </m:oMathPara>
    </w:p>
    <w:p w14:paraId="7A17CB9A" w14:textId="02FB7AFA" w:rsidR="00176D78" w:rsidRDefault="00176D78" w:rsidP="00A640BE">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734655F9" w14:textId="089489EF" w:rsidR="00176D78" w:rsidRPr="00176D78" w:rsidRDefault="00000000" w:rsidP="00A640BE">
      <w:pPr>
        <w:pStyle w:val="ListParagraph"/>
        <w:numPr>
          <w:ilvl w:val="0"/>
          <w:numId w:val="16"/>
        </w:numPr>
        <w:spacing w:before="100" w:beforeAutospacing="1" w:after="100" w:afterAutospacing="1" w:line="480" w:lineRule="auto"/>
        <w:jc w:val="both"/>
        <w:rPr>
          <w:rFonts w:ascii="Times New Roman" w:eastAsia="Times New Roman" w:hAnsi="Times New Roman" w:cs="Times New Roman"/>
          <w:sz w:val="24"/>
          <w:szCs w:val="24"/>
        </w:rPr>
      </w:pPr>
      <m:oMath>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StoInc</m:t>
            </m:r>
          </m:e>
          <m:sub>
            <m:r>
              <w:rPr>
                <w:rFonts w:ascii="Cambria Math" w:eastAsia="Times New Roman" w:hAnsi="Cambria Math" w:cs="Times New Roman"/>
                <w:sz w:val="24"/>
                <w:szCs w:val="24"/>
                <w:lang w:val="en-US"/>
              </w:rPr>
              <m:t>i</m:t>
            </m:r>
            <m:r>
              <w:rPr>
                <w:rFonts w:ascii="Cambria Math" w:eastAsia="Times New Roman" w:hAnsi="Cambria Math" w:cs="Times New Roman"/>
                <w:sz w:val="24"/>
                <w:szCs w:val="24"/>
                <w:lang w:val="es-ES"/>
              </w:rPr>
              <m:t>,</m:t>
            </m:r>
            <m:r>
              <w:rPr>
                <w:rFonts w:ascii="Cambria Math" w:eastAsia="Times New Roman" w:hAnsi="Cambria Math" w:cs="Times New Roman"/>
                <w:sz w:val="24"/>
                <w:szCs w:val="24"/>
                <w:lang w:val="en-US"/>
              </w:rPr>
              <m:t>j</m:t>
            </m:r>
          </m:sub>
          <m:sup>
            <m:r>
              <w:rPr>
                <w:rFonts w:ascii="Cambria Math" w:eastAsia="Times New Roman" w:hAnsi="Cambria Math" w:cs="Times New Roman"/>
                <w:sz w:val="24"/>
                <w:szCs w:val="24"/>
                <w:lang w:val="en-US"/>
              </w:rPr>
              <m:t>jun</m:t>
            </m:r>
            <m:r>
              <w:rPr>
                <w:rFonts w:ascii="Cambria Math" w:eastAsia="Times New Roman" w:hAnsi="Cambria Math" w:cs="Times New Roman"/>
                <w:sz w:val="24"/>
                <w:szCs w:val="24"/>
                <w:lang w:val="es-ES"/>
              </w:rPr>
              <m:t>2024</m:t>
            </m:r>
          </m:sup>
        </m:sSubSup>
      </m:oMath>
      <w:r w:rsidR="00176D78" w:rsidRPr="00176D78">
        <w:rPr>
          <w:rFonts w:ascii="Times New Roman" w:eastAsia="Times New Roman" w:hAnsi="Times New Roman" w:cs="Times New Roman"/>
          <w:sz w:val="24"/>
          <w:szCs w:val="24"/>
          <w:lang w:val="es-ES"/>
        </w:rPr>
        <w:t xml:space="preserve"> </w:t>
      </w:r>
      <w:r w:rsidR="00176D78">
        <w:rPr>
          <w:rFonts w:ascii="Times New Roman" w:eastAsia="Times New Roman" w:hAnsi="Times New Roman" w:cs="Times New Roman"/>
          <w:sz w:val="24"/>
          <w:szCs w:val="24"/>
          <w:lang w:val="es-ES"/>
        </w:rPr>
        <w:t>es la suma de los Siniestros Incurridos en el año “i” con periodo de desarrollo “j”, actualizado al 30 de junio de 2024</w:t>
      </w:r>
    </w:p>
    <w:p w14:paraId="24891022" w14:textId="0CDD8005" w:rsidR="00176D78" w:rsidRPr="00176D78" w:rsidRDefault="00176D78" w:rsidP="00A640BE">
      <w:pPr>
        <w:pStyle w:val="ListParagraph"/>
        <w:numPr>
          <w:ilvl w:val="0"/>
          <w:numId w:val="16"/>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lang w:val="en-US"/>
          </w:rPr>
          <m:t>Factor</m:t>
        </m:r>
        <m:r>
          <w:rPr>
            <w:rFonts w:ascii="Cambria Math" w:eastAsia="Times New Roman" w:hAnsi="Cambria Math" w:cs="Times New Roman"/>
            <w:sz w:val="24"/>
            <w:szCs w:val="24"/>
          </w:rPr>
          <m:t xml:space="preserve"> </m:t>
        </m:r>
        <m:r>
          <w:rPr>
            <w:rFonts w:ascii="Cambria Math" w:eastAsia="Times New Roman" w:hAnsi="Cambria Math" w:cs="Times New Roman"/>
            <w:sz w:val="24"/>
            <w:szCs w:val="24"/>
            <w:lang w:val="en-US"/>
          </w:rPr>
          <m:t>de</m:t>
        </m:r>
        <m:r>
          <w:rPr>
            <w:rFonts w:ascii="Cambria Math" w:eastAsia="Times New Roman" w:hAnsi="Cambria Math" w:cs="Times New Roman"/>
            <w:sz w:val="24"/>
            <w:szCs w:val="24"/>
          </w:rPr>
          <m:t xml:space="preserve"> </m:t>
        </m:r>
        <m:r>
          <w:rPr>
            <w:rFonts w:ascii="Cambria Math" w:eastAsia="Times New Roman" w:hAnsi="Cambria Math" w:cs="Times New Roman"/>
            <w:sz w:val="24"/>
            <w:szCs w:val="24"/>
            <w:lang w:val="en-US"/>
          </w:rPr>
          <m:t>Ajust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e</m:t>
            </m:r>
          </m:e>
          <m:sub>
            <m:r>
              <w:rPr>
                <w:rFonts w:ascii="Cambria Math" w:eastAsia="Times New Roman" w:hAnsi="Cambria Math" w:cs="Times New Roman"/>
                <w:sz w:val="24"/>
                <w:szCs w:val="24"/>
                <w:lang w:val="en-US"/>
              </w:rPr>
              <m:t>t</m:t>
            </m:r>
          </m:sub>
        </m:sSub>
      </m:oMath>
      <w:r w:rsidRPr="00176D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 el factor de ajuste por inflación a junio 2024 desde la fecha de valuación “t”</w:t>
      </w:r>
    </w:p>
    <w:p w14:paraId="000000B1"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Una vez actualizados los siniestros, la normativa permite extraer los siniestros extraordinarios. Estos se definen como aquellos que representan un monto mayor al 10% del total para el año de </w:t>
      </w:r>
      <w:r w:rsidRPr="00EA4C1F">
        <w:rPr>
          <w:rFonts w:ascii="Times New Roman" w:eastAsia="Times New Roman" w:hAnsi="Times New Roman" w:cs="Times New Roman"/>
          <w:sz w:val="24"/>
          <w:szCs w:val="24"/>
        </w:rPr>
        <w:lastRenderedPageBreak/>
        <w:t>ocurrencia y periodo de desarrollo. Dado que asumimos que no hay presencia de siniestros anómalos en la base, este cálculo no es necesario.</w:t>
      </w:r>
    </w:p>
    <w:p w14:paraId="000000B2" w14:textId="77777777" w:rsidR="00E6009A" w:rsidRPr="00EA4C1F" w:rsidRDefault="00000000" w:rsidP="00EA4C1F">
      <w:pPr>
        <w:spacing w:line="480" w:lineRule="auto"/>
        <w:jc w:val="both"/>
        <w:rPr>
          <w:rFonts w:ascii="Times New Roman" w:hAnsi="Times New Roman" w:cs="Times New Roman"/>
        </w:rPr>
      </w:pPr>
      <w:r w:rsidRPr="00EA4C1F">
        <w:rPr>
          <w:rFonts w:ascii="Times New Roman" w:eastAsia="Times New Roman" w:hAnsi="Times New Roman" w:cs="Times New Roman"/>
          <w:sz w:val="24"/>
          <w:szCs w:val="24"/>
        </w:rPr>
        <w:t>Finalmente, la base resultante es una que cuenta con siniestros a fecha de valuación 30 de junio de 2024 y sin siniestros extraordinarios que puedan generar errores de estimación en el siguiente paso.</w:t>
      </w:r>
    </w:p>
    <w:bookmarkStart w:id="22" w:name="_Toc221446743"/>
    <w:p w14:paraId="000000B3" w14:textId="77777777" w:rsidR="00E6009A" w:rsidRPr="00EA4C1F" w:rsidRDefault="00000000" w:rsidP="00EA4C1F">
      <w:pPr>
        <w:pStyle w:val="Heading3"/>
        <w:numPr>
          <w:ilvl w:val="2"/>
          <w:numId w:val="3"/>
        </w:numPr>
        <w:spacing w:line="480" w:lineRule="auto"/>
        <w:ind w:hanging="360"/>
        <w:jc w:val="both"/>
        <w:rPr>
          <w:rFonts w:ascii="Times New Roman" w:eastAsia="Times New Roman" w:hAnsi="Times New Roman" w:cs="Times New Roman"/>
        </w:rPr>
      </w:pPr>
      <w:sdt>
        <w:sdtPr>
          <w:rPr>
            <w:rFonts w:ascii="Times New Roman" w:hAnsi="Times New Roman" w:cs="Times New Roman"/>
          </w:rPr>
          <w:tag w:val="goog_rdk_20"/>
          <w:id w:val="274951155"/>
        </w:sdtPr>
        <w:sdtContent/>
      </w:sdt>
      <w:sdt>
        <w:sdtPr>
          <w:rPr>
            <w:rFonts w:ascii="Times New Roman" w:hAnsi="Times New Roman" w:cs="Times New Roman"/>
          </w:rPr>
          <w:tag w:val="goog_rdk_21"/>
          <w:id w:val="-362827992"/>
        </w:sdtPr>
        <w:sdtContent/>
      </w:sdt>
      <w:r w:rsidRPr="00EA4C1F">
        <w:rPr>
          <w:rFonts w:ascii="Times New Roman" w:eastAsia="Times New Roman" w:hAnsi="Times New Roman" w:cs="Times New Roman"/>
        </w:rPr>
        <w:t>Modelo de Estimación</w:t>
      </w:r>
      <w:bookmarkEnd w:id="22"/>
    </w:p>
    <w:p w14:paraId="000000B4"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normativa prevé la utilización del método Chain Ladder con algunas modificaciones para la estimación preliminar de la reserva por siniestros IBNR. Dicho modelo basa su razonabilidad en los siguientes supuestos:</w:t>
      </w:r>
    </w:p>
    <w:p w14:paraId="000000B5" w14:textId="77777777" w:rsidR="00E6009A" w:rsidRPr="00EA4C1F" w:rsidRDefault="00000000" w:rsidP="00EA4C1F">
      <w:pPr>
        <w:numPr>
          <w:ilvl w:val="0"/>
          <w:numId w:val="5"/>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Existen factores de desarrollo mayores a "0" tal que la multiplicación de </w:t>
      </w:r>
      <w:proofErr w:type="gramStart"/>
      <w:r w:rsidRPr="00EA4C1F">
        <w:rPr>
          <w:rFonts w:ascii="Times New Roman" w:eastAsia="Times New Roman" w:hAnsi="Times New Roman" w:cs="Times New Roman"/>
          <w:sz w:val="24"/>
          <w:szCs w:val="24"/>
        </w:rPr>
        <w:t>los mismos</w:t>
      </w:r>
      <w:proofErr w:type="gramEnd"/>
      <w:r w:rsidRPr="00EA4C1F">
        <w:rPr>
          <w:rFonts w:ascii="Times New Roman" w:eastAsia="Times New Roman" w:hAnsi="Times New Roman" w:cs="Times New Roman"/>
          <w:sz w:val="24"/>
          <w:szCs w:val="24"/>
        </w:rPr>
        <w:t xml:space="preserve"> me da el desarrollo promedio de un siniestro para cierto año de ocurrencia.</w:t>
      </w:r>
    </w:p>
    <w:p w14:paraId="000000B6" w14:textId="5F21564C" w:rsidR="00E6009A" w:rsidRPr="00EA4C1F" w:rsidRDefault="00000000" w:rsidP="00EA4C1F">
      <w:pPr>
        <w:numPr>
          <w:ilvl w:val="0"/>
          <w:numId w:val="5"/>
        </w:num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Cada siniestro es independiente por año de </w:t>
      </w:r>
      <w:r w:rsidR="00F778F2" w:rsidRPr="00EA4C1F">
        <w:rPr>
          <w:rFonts w:ascii="Times New Roman" w:eastAsia="Times New Roman" w:hAnsi="Times New Roman" w:cs="Times New Roman"/>
          <w:sz w:val="24"/>
          <w:szCs w:val="24"/>
        </w:rPr>
        <w:t>ocurrencia,</w:t>
      </w:r>
      <w:r w:rsidRPr="00EA4C1F">
        <w:rPr>
          <w:rFonts w:ascii="Times New Roman" w:eastAsia="Times New Roman" w:hAnsi="Times New Roman" w:cs="Times New Roman"/>
          <w:sz w:val="24"/>
          <w:szCs w:val="24"/>
        </w:rPr>
        <w:t xml:space="preserve"> pero no por periodo de desarrollo.</w:t>
      </w:r>
    </w:p>
    <w:p w14:paraId="000000B7" w14:textId="0E6606DE"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Teniendo esto en cuenta, el RGAA</w:t>
      </w:r>
      <w:sdt>
        <w:sdtPr>
          <w:rPr>
            <w:rFonts w:ascii="Times New Roman" w:eastAsia="Times New Roman" w:hAnsi="Times New Roman" w:cs="Times New Roman"/>
            <w:sz w:val="24"/>
            <w:szCs w:val="24"/>
          </w:rPr>
          <w:id w:val="-1194147841"/>
          <w:citation/>
        </w:sdtPr>
        <w:sdtContent>
          <w:r w:rsidR="001320FC">
            <w:rPr>
              <w:rFonts w:ascii="Times New Roman" w:eastAsia="Times New Roman" w:hAnsi="Times New Roman" w:cs="Times New Roman"/>
              <w:sz w:val="24"/>
              <w:szCs w:val="24"/>
            </w:rPr>
            <w:fldChar w:fldCharType="begin"/>
          </w:r>
          <w:r w:rsidR="001320FC" w:rsidRPr="001320FC">
            <w:rPr>
              <w:rFonts w:ascii="Times New Roman" w:eastAsia="Times New Roman" w:hAnsi="Times New Roman" w:cs="Times New Roman"/>
              <w:sz w:val="24"/>
              <w:szCs w:val="24"/>
            </w:rPr>
            <w:instrText xml:space="preserve"> CITATION RGAA \l 1033 </w:instrText>
          </w:r>
          <w:r w:rsidR="001320FC">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1320FC">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define los siguientes conceptos:</w:t>
      </w:r>
    </w:p>
    <w:p w14:paraId="000000B8" w14:textId="77777777" w:rsidR="00E6009A" w:rsidRPr="00EA4C1F" w:rsidRDefault="00000000" w:rsidP="00EA4C1F">
      <w:pPr>
        <w:numPr>
          <w:ilvl w:val="0"/>
          <w:numId w:val="15"/>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“Período de ocurrencia”, como el período de 12 meses comprendido entre el 1° de julio de un año y el 30 de junio del año siguiente.</w:t>
      </w:r>
    </w:p>
    <w:p w14:paraId="000000B9" w14:textId="77777777" w:rsidR="00E6009A" w:rsidRPr="00EA4C1F" w:rsidRDefault="00000000" w:rsidP="00EA4C1F">
      <w:pPr>
        <w:numPr>
          <w:ilvl w:val="0"/>
          <w:numId w:val="15"/>
        </w:num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“Período de desarrollo” a los períodos de 12 meses comprendidos entre el 1° de julio</w:t>
      </w:r>
    </w:p>
    <w:p w14:paraId="000000BA" w14:textId="77777777" w:rsidR="00E6009A" w:rsidRPr="00EA4C1F" w:rsidRDefault="00000000" w:rsidP="00EA4C1F">
      <w:pPr>
        <w:spacing w:line="480" w:lineRule="auto"/>
        <w:ind w:left="720"/>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 de un año dado y el 30 de junio del año siguiente y los períodos de 12 meses sucesivos. Cada “período de desarrollo” debe cumplir las siguientes condiciones:</w:t>
      </w:r>
    </w:p>
    <w:p w14:paraId="000000BB" w14:textId="77777777" w:rsidR="00E6009A" w:rsidRPr="00EA4C1F" w:rsidRDefault="00000000" w:rsidP="00EA4C1F">
      <w:pPr>
        <w:numPr>
          <w:ilvl w:val="1"/>
          <w:numId w:val="15"/>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El primer “período de desarrollo” debe coincidir con el período de ocurrencia</w:t>
      </w:r>
    </w:p>
    <w:p w14:paraId="000000BC" w14:textId="77777777" w:rsidR="00E6009A" w:rsidRPr="00EA4C1F" w:rsidRDefault="00000000" w:rsidP="00EA4C1F">
      <w:pPr>
        <w:numPr>
          <w:ilvl w:val="1"/>
          <w:numId w:val="15"/>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Los siguientes deben corresponder a los períodos anuales posteriores. En éstos, el importe de los siniestros consignados debe corresponder al mismo período de ocurrencia.</w:t>
      </w:r>
    </w:p>
    <w:p w14:paraId="000000BD" w14:textId="77777777" w:rsidR="00E6009A" w:rsidRPr="00EA4C1F" w:rsidRDefault="00000000" w:rsidP="00EA4C1F">
      <w:pPr>
        <w:numPr>
          <w:ilvl w:val="0"/>
          <w:numId w:val="15"/>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“Factor de desarrollo acumulado” indica el valor estimado en el cual los siniestros deben ser incrementados por la demora en su denuncia y la insuficiente valoración de la RSP.</w:t>
      </w:r>
    </w:p>
    <w:p w14:paraId="000000BE" w14:textId="77777777" w:rsidR="00E6009A" w:rsidRPr="00EA4C1F" w:rsidRDefault="00000000" w:rsidP="00EA4C1F">
      <w:pPr>
        <w:numPr>
          <w:ilvl w:val="0"/>
          <w:numId w:val="15"/>
        </w:num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“Última pérdida estimada” al importe que surge del producto entre el “factor de desarrollo acumulado” y los siniestros incurridos (pagados y pendientes) en cada período de ocurrencia.</w:t>
      </w:r>
    </w:p>
    <w:p w14:paraId="4B1346F6" w14:textId="77777777" w:rsidR="001320FC" w:rsidRDefault="00000000" w:rsidP="001320FC">
      <w:pPr>
        <w:keepNext/>
        <w:spacing w:after="0" w:line="480" w:lineRule="auto"/>
        <w:jc w:val="both"/>
      </w:pPr>
      <w:r w:rsidRPr="00EA4C1F">
        <w:rPr>
          <w:rFonts w:ascii="Times New Roman" w:eastAsia="Times New Roman" w:hAnsi="Times New Roman" w:cs="Times New Roman"/>
          <w:sz w:val="24"/>
          <w:szCs w:val="24"/>
        </w:rPr>
        <w:t xml:space="preserve">Sobre estos conceptos, se reordena la tabla, agrupando siniestros incurridos por Periodo de Ocurrencia en el eje horizontal y Periodo de desarrollo en el eje vertical. La tabla resultante se estructurará </w:t>
      </w:r>
      <w:r w:rsidR="001320FC">
        <w:rPr>
          <w:rFonts w:ascii="Times New Roman" w:eastAsia="Times New Roman" w:hAnsi="Times New Roman" w:cs="Times New Roman"/>
          <w:sz w:val="24"/>
          <w:szCs w:val="24"/>
        </w:rPr>
        <w:t>como en la Tabla 2</w:t>
      </w:r>
      <w:r w:rsidRPr="00EA4C1F">
        <w:rPr>
          <w:rFonts w:ascii="Times New Roman" w:eastAsia="Times New Roman" w:hAnsi="Times New Roman" w:cs="Times New Roman"/>
          <w:sz w:val="24"/>
          <w:szCs w:val="24"/>
        </w:rPr>
        <w:t>:</w:t>
      </w:r>
      <w:r w:rsidRPr="00EA4C1F">
        <w:rPr>
          <w:rFonts w:ascii="Times New Roman" w:eastAsia="Times New Roman" w:hAnsi="Times New Roman" w:cs="Times New Roman"/>
          <w:noProof/>
          <w:sz w:val="24"/>
          <w:szCs w:val="24"/>
        </w:rPr>
        <w:drawing>
          <wp:inline distT="114300" distB="114300" distL="114300" distR="114300" wp14:anchorId="614945AF" wp14:editId="109E66C9">
            <wp:extent cx="5800725" cy="1790700"/>
            <wp:effectExtent l="0" t="0" r="9525"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6"/>
                    <a:srcRect l="2404" t="6056" b="6367"/>
                    <a:stretch>
                      <a:fillRect/>
                    </a:stretch>
                  </pic:blipFill>
                  <pic:spPr bwMode="auto">
                    <a:xfrm>
                      <a:off x="0" y="0"/>
                      <a:ext cx="5800725" cy="1790700"/>
                    </a:xfrm>
                    <a:prstGeom prst="rect">
                      <a:avLst/>
                    </a:prstGeom>
                    <a:ln>
                      <a:noFill/>
                    </a:ln>
                    <a:extLst>
                      <a:ext uri="{53640926-AAD7-44D8-BBD7-CCE9431645EC}">
                        <a14:shadowObscured xmlns:a14="http://schemas.microsoft.com/office/drawing/2010/main"/>
                      </a:ext>
                    </a:extLst>
                  </pic:spPr>
                </pic:pic>
              </a:graphicData>
            </a:graphic>
          </wp:inline>
        </w:drawing>
      </w:r>
    </w:p>
    <w:p w14:paraId="000000BF" w14:textId="263C212C" w:rsidR="00E6009A" w:rsidRPr="00EA4C1F" w:rsidRDefault="001320FC" w:rsidP="001320FC">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2</w:t>
        </w:r>
      </w:fldSimple>
      <w:r>
        <w:t>: Triángulo de Siniestros Acumulados</w:t>
      </w:r>
    </w:p>
    <w:p w14:paraId="000000C1" w14:textId="60D393DB" w:rsidR="00E6009A" w:rsidRPr="001320FC"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siguiente paso, se procede a calcular los factores de desarrollo individuales, cuya </w:t>
      </w:r>
      <w:proofErr w:type="spellStart"/>
      <w:r w:rsidRPr="00EA4C1F">
        <w:rPr>
          <w:rFonts w:ascii="Times New Roman" w:eastAsia="Times New Roman" w:hAnsi="Times New Roman" w:cs="Times New Roman"/>
          <w:sz w:val="24"/>
          <w:szCs w:val="24"/>
        </w:rPr>
        <w:t>productoria</w:t>
      </w:r>
      <w:proofErr w:type="spellEnd"/>
      <w:r w:rsidRPr="00EA4C1F">
        <w:rPr>
          <w:rFonts w:ascii="Times New Roman" w:eastAsia="Times New Roman" w:hAnsi="Times New Roman" w:cs="Times New Roman"/>
          <w:sz w:val="24"/>
          <w:szCs w:val="24"/>
        </w:rPr>
        <w:t xml:space="preserve"> resulta en los factores de desarrollo acumulados, definidos anteriormente. Esto se hace </w:t>
      </w:r>
      <w:r w:rsidR="001320FC">
        <w:rPr>
          <w:rFonts w:ascii="Times New Roman" w:eastAsia="Times New Roman" w:hAnsi="Times New Roman" w:cs="Times New Roman"/>
          <w:sz w:val="24"/>
          <w:szCs w:val="24"/>
        </w:rPr>
        <w:t>según la Ecuación 3:</w:t>
      </w:r>
    </w:p>
    <w:p w14:paraId="67E50069" w14:textId="574DA98A" w:rsidR="001320FC" w:rsidRPr="001320FC" w:rsidRDefault="00000000" w:rsidP="00EA4C1F">
      <w:pPr>
        <w:spacing w:line="480" w:lineRule="auto"/>
        <w:jc w:val="both"/>
        <w:rPr>
          <w:rFonts w:ascii="Times New Roman" w:eastAsia="Times New Roman" w:hAnsi="Times New Roman" w:cs="Times New Roman"/>
          <w:sz w:val="28"/>
          <w:szCs w:val="28"/>
        </w:rPr>
      </w:pPr>
      <m:oMathPara>
        <m:oMath>
          <m:eqArr>
            <m:eqArrPr>
              <m:maxDist m:val="1"/>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f</m:t>
                  </m:r>
                </m:e>
                <m:sub>
                  <m:r>
                    <w:rPr>
                      <w:rFonts w:ascii="Cambria Math" w:eastAsia="Times New Roman" w:hAnsi="Cambria Math" w:cs="Times New Roman"/>
                      <w:sz w:val="28"/>
                      <w:szCs w:val="28"/>
                    </w:rPr>
                    <m:t>j</m:t>
                  </m:r>
                </m:sub>
              </m:sSub>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nary>
                    <m:naryPr>
                      <m:chr m:val="∑"/>
                      <m:limLoc m:val="undOvr"/>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I-j</m:t>
                      </m:r>
                    </m:sup>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i,j+1</m:t>
                          </m:r>
                        </m:sub>
                      </m:sSub>
                    </m:e>
                  </m:nary>
                </m:num>
                <m:den>
                  <m:nary>
                    <m:naryPr>
                      <m:chr m:val="∑"/>
                      <m:limLoc m:val="undOvr"/>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I-j</m:t>
                      </m:r>
                    </m:sup>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i,j</m:t>
                          </m:r>
                        </m:sub>
                      </m:sSub>
                    </m:e>
                  </m:nary>
                </m:den>
              </m:f>
              <m:r>
                <w:rPr>
                  <w:rFonts w:ascii="Cambria Math" w:eastAsia="Times New Roman" w:hAnsi="Cambria Math" w:cs="Times New Roman"/>
                  <w:sz w:val="28"/>
                  <w:szCs w:val="28"/>
                </w:rPr>
                <m:t xml:space="preserve">          0≤j≤I-1 #</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3</m:t>
                  </m:r>
                </m:e>
              </m:d>
            </m:e>
          </m:eqArr>
        </m:oMath>
      </m:oMathPara>
    </w:p>
    <w:p w14:paraId="000000C2"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Donde:</w:t>
      </w:r>
    </w:p>
    <w:p w14:paraId="000000C3" w14:textId="21343975" w:rsidR="00E6009A" w:rsidRPr="00EA4C1F" w:rsidRDefault="00000000" w:rsidP="00EA4C1F">
      <w:pPr>
        <w:numPr>
          <w:ilvl w:val="0"/>
          <w:numId w:val="7"/>
        </w:numPr>
        <w:spacing w:after="0"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f</m:t>
            </m:r>
          </m:e>
          <m:sub>
            <m:r>
              <w:rPr>
                <w:rFonts w:ascii="Cambria Math" w:eastAsia="Times New Roman" w:hAnsi="Cambria Math" w:cs="Times New Roman"/>
                <w:sz w:val="28"/>
                <w:szCs w:val="28"/>
              </w:rPr>
              <m:t>j</m:t>
            </m:r>
          </m:sub>
        </m:sSub>
      </m:oMath>
      <w:r w:rsidR="00592576" w:rsidRPr="00EA4C1F">
        <w:rPr>
          <w:rFonts w:ascii="Times New Roman" w:eastAsia="Times New Roman" w:hAnsi="Times New Roman" w:cs="Times New Roman"/>
          <w:sz w:val="24"/>
          <w:szCs w:val="24"/>
        </w:rPr>
        <w:t xml:space="preserve"> es el factor estimado de desarrollo individual para el periodo de desarrollo “j”</w:t>
      </w:r>
    </w:p>
    <w:p w14:paraId="000000C4" w14:textId="7CE76117" w:rsidR="00E6009A" w:rsidRPr="00EA4C1F" w:rsidRDefault="00000000" w:rsidP="00EA4C1F">
      <w:pPr>
        <w:numPr>
          <w:ilvl w:val="0"/>
          <w:numId w:val="7"/>
        </w:numPr>
        <w:spacing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i,j</m:t>
            </m:r>
          </m:sub>
        </m:sSub>
      </m:oMath>
      <w:r w:rsidR="00592576" w:rsidRPr="00EA4C1F">
        <w:rPr>
          <w:rFonts w:ascii="Times New Roman" w:eastAsia="Times New Roman" w:hAnsi="Times New Roman" w:cs="Times New Roman"/>
          <w:sz w:val="24"/>
          <w:szCs w:val="24"/>
        </w:rPr>
        <w:t xml:space="preserve"> es el monto de siniestros acumulados para el periodo de ocurrencia “i” y el periodo de desarrollo “j”.</w:t>
      </w:r>
    </w:p>
    <w:p w14:paraId="000000C5"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Obtenidos los factores de desarrollo individuales, la normativa prevé un “factor de cola”, el cual se define como un factor de desarrollo individual que acumula el desarrollo futuro, más allá del último período observado. Su función es extender el patrón de maduración cuando los datos históricos no alcanzan a cubrir el desarrollo completo del siniestro.</w:t>
      </w:r>
    </w:p>
    <w:p w14:paraId="000000C6" w14:textId="1E335775"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Dependiendo del ramo, se le asignará una categoría de desarrollo según la </w:t>
      </w:r>
      <w:r w:rsidR="001320FC">
        <w:rPr>
          <w:rFonts w:ascii="Times New Roman" w:eastAsia="Times New Roman" w:hAnsi="Times New Roman" w:cs="Times New Roman"/>
          <w:sz w:val="24"/>
          <w:szCs w:val="24"/>
        </w:rPr>
        <w:t>Tabla 3</w:t>
      </w:r>
      <w:r w:rsidRPr="00EA4C1F">
        <w:rPr>
          <w:rFonts w:ascii="Times New Roman" w:eastAsia="Times New Roman" w:hAnsi="Times New Roman" w:cs="Times New Roman"/>
          <w:sz w:val="24"/>
          <w:szCs w:val="24"/>
        </w:rPr>
        <w:t>:</w:t>
      </w:r>
    </w:p>
    <w:p w14:paraId="657F7FED" w14:textId="77777777" w:rsidR="001320FC" w:rsidRDefault="00000000" w:rsidP="001320FC">
      <w:pPr>
        <w:keepNext/>
        <w:spacing w:after="0" w:line="480" w:lineRule="auto"/>
        <w:jc w:val="both"/>
      </w:pPr>
      <w:r w:rsidRPr="00EA4C1F">
        <w:rPr>
          <w:rFonts w:ascii="Times New Roman" w:eastAsia="Times New Roman" w:hAnsi="Times New Roman" w:cs="Times New Roman"/>
          <w:noProof/>
          <w:sz w:val="24"/>
          <w:szCs w:val="24"/>
        </w:rPr>
        <w:drawing>
          <wp:inline distT="114300" distB="114300" distL="114300" distR="114300" wp14:anchorId="3E645C78" wp14:editId="2B3C3525">
            <wp:extent cx="4169235" cy="2037847"/>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4169235" cy="2037847"/>
                    </a:xfrm>
                    <a:prstGeom prst="rect">
                      <a:avLst/>
                    </a:prstGeom>
                    <a:ln/>
                  </pic:spPr>
                </pic:pic>
              </a:graphicData>
            </a:graphic>
          </wp:inline>
        </w:drawing>
      </w:r>
    </w:p>
    <w:p w14:paraId="000000C7" w14:textId="2F0A1522" w:rsidR="00E6009A" w:rsidRPr="001320FC" w:rsidRDefault="001320FC" w:rsidP="001320FC">
      <w:pPr>
        <w:pStyle w:val="Caption"/>
        <w:jc w:val="both"/>
      </w:pPr>
      <w:r>
        <w:t xml:space="preserve">Tabla </w:t>
      </w:r>
      <w:fldSimple w:instr=" SEQ Tabla \* ARABIC ">
        <w:r w:rsidR="000E27CD">
          <w:rPr>
            <w:noProof/>
          </w:rPr>
          <w:t>3</w:t>
        </w:r>
      </w:fldSimple>
      <w:r>
        <w:t>: Definición de cola de ramos de seguro</w:t>
      </w:r>
    </w:p>
    <w:p w14:paraId="000000C8"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Como se puede observar, la cobertura de responsabilidad civil, ramo automotor corresponde la categoría de “Cola Larga”. Esto significa que el factor de cola aplicable será:</w:t>
      </w:r>
    </w:p>
    <w:p w14:paraId="000000C9" w14:textId="77777777" w:rsidR="00E6009A" w:rsidRPr="00EA4C1F" w:rsidRDefault="00000000" w:rsidP="00EA4C1F">
      <w:pPr>
        <w:numPr>
          <w:ilvl w:val="0"/>
          <w:numId w:val="14"/>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Para períodos de ocurrencia mayores a 6 años, el factor de cola será 1</w:t>
      </w:r>
    </w:p>
    <w:p w14:paraId="000000CA" w14:textId="77777777" w:rsidR="00E6009A" w:rsidRPr="00EA4C1F" w:rsidRDefault="00000000" w:rsidP="00EA4C1F">
      <w:pPr>
        <w:numPr>
          <w:ilvl w:val="0"/>
          <w:numId w:val="14"/>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Para períodos de ocurrencia de 6 años, el factor de cola será 1.05</w:t>
      </w:r>
    </w:p>
    <w:p w14:paraId="000000CB" w14:textId="77777777" w:rsidR="00E6009A" w:rsidRPr="00EA4C1F" w:rsidRDefault="00000000" w:rsidP="00EA4C1F">
      <w:pPr>
        <w:numPr>
          <w:ilvl w:val="0"/>
          <w:numId w:val="14"/>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Para períodos de ocurrencia de 5 años, el factor de cola será 1.1</w:t>
      </w:r>
    </w:p>
    <w:p w14:paraId="000000CC" w14:textId="77777777" w:rsidR="00E6009A" w:rsidRPr="00EA4C1F" w:rsidRDefault="00000000" w:rsidP="00EA4C1F">
      <w:pPr>
        <w:numPr>
          <w:ilvl w:val="0"/>
          <w:numId w:val="14"/>
        </w:num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Para períodos de ocurrencia menores a 5 años, se deberá aplicar otro método de estimación.</w:t>
      </w:r>
    </w:p>
    <w:p w14:paraId="000000CD"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Dado que nuestra base cuenta con 6 periodos de ocurrencia (2018 - 2024), el factor de cola a utilizar será 1.05 y se incorporará como el factor de desarrollo “j+1” en la fórmula de cálculo de los factores de desarrollo acumulados. </w:t>
      </w:r>
    </w:p>
    <w:p w14:paraId="000000CE" w14:textId="6B32F7D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se ha mencionado previamente, los factores de desarrollo acumulados se calculan como la </w:t>
      </w:r>
      <w:proofErr w:type="spellStart"/>
      <w:r w:rsidRPr="00EA4C1F">
        <w:rPr>
          <w:rFonts w:ascii="Times New Roman" w:eastAsia="Times New Roman" w:hAnsi="Times New Roman" w:cs="Times New Roman"/>
          <w:sz w:val="24"/>
          <w:szCs w:val="24"/>
        </w:rPr>
        <w:t>productoria</w:t>
      </w:r>
      <w:proofErr w:type="spellEnd"/>
      <w:r w:rsidRPr="00EA4C1F">
        <w:rPr>
          <w:rFonts w:ascii="Times New Roman" w:eastAsia="Times New Roman" w:hAnsi="Times New Roman" w:cs="Times New Roman"/>
          <w:sz w:val="24"/>
          <w:szCs w:val="24"/>
        </w:rPr>
        <w:t xml:space="preserve"> de los </w:t>
      </w:r>
      <w:proofErr w:type="spellStart"/>
      <w:r w:rsidRPr="00EA4C1F">
        <w:rPr>
          <w:rFonts w:ascii="Times New Roman" w:eastAsia="Times New Roman" w:hAnsi="Times New Roman" w:cs="Times New Roman"/>
          <w:sz w:val="24"/>
          <w:szCs w:val="24"/>
        </w:rPr>
        <w:t>los</w:t>
      </w:r>
      <w:proofErr w:type="spellEnd"/>
      <w:r w:rsidRPr="00EA4C1F">
        <w:rPr>
          <w:rFonts w:ascii="Times New Roman" w:eastAsia="Times New Roman" w:hAnsi="Times New Roman" w:cs="Times New Roman"/>
          <w:sz w:val="24"/>
          <w:szCs w:val="24"/>
        </w:rPr>
        <w:t xml:space="preserve"> factores de desarrollo individuales. La fórmula </w:t>
      </w:r>
      <w:r w:rsidR="00A640BE">
        <w:rPr>
          <w:rFonts w:ascii="Times New Roman" w:eastAsia="Times New Roman" w:hAnsi="Times New Roman" w:cs="Times New Roman"/>
          <w:sz w:val="24"/>
          <w:szCs w:val="24"/>
        </w:rPr>
        <w:t>utilizada</w:t>
      </w:r>
      <w:r w:rsidRPr="00EA4C1F">
        <w:rPr>
          <w:rFonts w:ascii="Times New Roman" w:eastAsia="Times New Roman" w:hAnsi="Times New Roman" w:cs="Times New Roman"/>
          <w:sz w:val="24"/>
          <w:szCs w:val="24"/>
        </w:rPr>
        <w:t xml:space="preserve"> se representa de la siguiente manera:</w:t>
      </w:r>
    </w:p>
    <w:p w14:paraId="3BB5803E" w14:textId="1D1D6E59" w:rsidR="001320FC" w:rsidRPr="001320FC" w:rsidRDefault="00000000" w:rsidP="00EA4C1F">
      <w:pPr>
        <w:spacing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FDA</m:t>
                  </m:r>
                </m:e>
                <m:sub>
                  <m:r>
                    <w:rPr>
                      <w:rFonts w:ascii="Cambria Math" w:eastAsia="Times New Roman" w:hAnsi="Cambria Math" w:cs="Times New Roman"/>
                      <w:sz w:val="24"/>
                      <w:szCs w:val="24"/>
                    </w:rPr>
                    <m:t>j</m:t>
                  </m:r>
                </m:sub>
              </m:sSub>
              <m: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n=0</m:t>
                  </m:r>
                </m:sub>
                <m:sup>
                  <m:r>
                    <w:rPr>
                      <w:rFonts w:ascii="Cambria Math" w:eastAsia="Times New Roman" w:hAnsi="Cambria Math" w:cs="Times New Roman"/>
                      <w:sz w:val="24"/>
                      <w:szCs w:val="24"/>
                    </w:rPr>
                    <m:t>J-j</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FDI</m:t>
                      </m:r>
                    </m:e>
                    <m:sub>
                      <m:r>
                        <w:rPr>
                          <w:rFonts w:ascii="Cambria Math" w:eastAsia="Times New Roman" w:hAnsi="Cambria Math" w:cs="Times New Roman"/>
                          <w:sz w:val="24"/>
                          <w:szCs w:val="24"/>
                        </w:rPr>
                        <m:t>J-n</m:t>
                      </m:r>
                    </m:sub>
                  </m:sSub>
                </m:e>
              </m:nary>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m:t>
                  </m:r>
                </m:e>
              </m:d>
            </m:e>
          </m:eqArr>
        </m:oMath>
      </m:oMathPara>
    </w:p>
    <w:p w14:paraId="47A9A67D" w14:textId="07EFB242" w:rsidR="00A640BE" w:rsidRDefault="00A640BE" w:rsidP="00EA4C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4F594E48" w14:textId="114BB255" w:rsidR="00A640BE" w:rsidRDefault="00000000" w:rsidP="00A640BE">
      <w:pPr>
        <w:pStyle w:val="ListParagraph"/>
        <w:numPr>
          <w:ilvl w:val="0"/>
          <w:numId w:val="16"/>
        </w:numPr>
        <w:spacing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FDA</m:t>
            </m:r>
          </m:e>
          <m:sub>
            <m:r>
              <w:rPr>
                <w:rFonts w:ascii="Cambria Math" w:eastAsia="Times New Roman" w:hAnsi="Cambria Math" w:cs="Times New Roman"/>
                <w:sz w:val="24"/>
                <w:szCs w:val="24"/>
              </w:rPr>
              <m:t>j</m:t>
            </m:r>
          </m:sub>
        </m:sSub>
      </m:oMath>
      <w:r w:rsidR="00A640BE">
        <w:rPr>
          <w:rFonts w:ascii="Times New Roman" w:eastAsia="Times New Roman" w:hAnsi="Times New Roman" w:cs="Times New Roman"/>
          <w:sz w:val="24"/>
          <w:szCs w:val="24"/>
        </w:rPr>
        <w:t xml:space="preserve"> es el Factor de Desarrollo Acumulado para el periodo “j”</w:t>
      </w:r>
    </w:p>
    <w:p w14:paraId="000000D0" w14:textId="35FE3552" w:rsidR="00E6009A" w:rsidRPr="000D2A0D" w:rsidRDefault="00000000" w:rsidP="00EA4C1F">
      <w:pPr>
        <w:pStyle w:val="ListParagraph"/>
        <w:numPr>
          <w:ilvl w:val="0"/>
          <w:numId w:val="16"/>
        </w:numPr>
        <w:spacing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FDI</m:t>
            </m:r>
          </m:e>
          <m:sub>
            <m:r>
              <w:rPr>
                <w:rFonts w:ascii="Cambria Math" w:eastAsia="Times New Roman" w:hAnsi="Cambria Math" w:cs="Times New Roman"/>
                <w:sz w:val="24"/>
                <w:szCs w:val="24"/>
              </w:rPr>
              <m:t>J-n</m:t>
            </m:r>
          </m:sub>
        </m:sSub>
      </m:oMath>
      <w:r w:rsidR="000D2A0D">
        <w:rPr>
          <w:rFonts w:ascii="Times New Roman" w:eastAsia="Times New Roman" w:hAnsi="Times New Roman" w:cs="Times New Roman"/>
          <w:sz w:val="24"/>
          <w:szCs w:val="24"/>
        </w:rPr>
        <w:t xml:space="preserve"> son los Factores de desarrollo individuales entre el periodo máximo “J” y “j”</w:t>
      </w:r>
    </w:p>
    <w:p w14:paraId="000000D1"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Como siguiente paso, se obtiene la Última pérdida estimada por Año de ocurrencia como el último valor disponible de los siniestros incurridos, multiplicado por el factor de desarrollo acumulado perteneciente al último periodo de desarrollo. La reserva IBNR es el valor resultante de la diferencia entre la Última pérdida estimada y el último valor disponible de los siniestros incurridos, por Año de ocurrencia. Analíticamente:</w:t>
      </w:r>
    </w:p>
    <w:p w14:paraId="08F1D2F1" w14:textId="77777777" w:rsidR="001320FC" w:rsidRDefault="00000000" w:rsidP="001320FC">
      <w:pPr>
        <w:keepNext/>
        <w:jc w:val="both"/>
      </w:pPr>
      <w:r w:rsidRPr="00EA4C1F">
        <w:rPr>
          <w:rFonts w:ascii="Times New Roman" w:eastAsia="Times New Roman" w:hAnsi="Times New Roman" w:cs="Times New Roman"/>
          <w:noProof/>
          <w:sz w:val="24"/>
          <w:szCs w:val="24"/>
        </w:rPr>
        <w:lastRenderedPageBreak/>
        <w:drawing>
          <wp:inline distT="114300" distB="114300" distL="114300" distR="114300" wp14:anchorId="3FCFA635" wp14:editId="1C2809F6">
            <wp:extent cx="5943600" cy="22098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943600" cy="2209800"/>
                    </a:xfrm>
                    <a:prstGeom prst="rect">
                      <a:avLst/>
                    </a:prstGeom>
                    <a:ln/>
                  </pic:spPr>
                </pic:pic>
              </a:graphicData>
            </a:graphic>
          </wp:inline>
        </w:drawing>
      </w:r>
    </w:p>
    <w:p w14:paraId="000000D2" w14:textId="0FE58F3F" w:rsidR="00E6009A" w:rsidRPr="00EA4C1F" w:rsidRDefault="001320FC" w:rsidP="001320FC">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4</w:t>
        </w:r>
      </w:fldSimple>
      <w:r>
        <w:t>: Cálculo de IBNR según el RGAA</w:t>
      </w:r>
    </w:p>
    <w:p w14:paraId="000000D3" w14:textId="77777777" w:rsidR="00E6009A" w:rsidRPr="00EA4C1F" w:rsidRDefault="00E6009A" w:rsidP="00EA4C1F">
      <w:pPr>
        <w:jc w:val="both"/>
        <w:rPr>
          <w:rFonts w:ascii="Times New Roman" w:hAnsi="Times New Roman" w:cs="Times New Roman"/>
        </w:rPr>
      </w:pPr>
    </w:p>
    <w:bookmarkStart w:id="23" w:name="_Toc221446744"/>
    <w:p w14:paraId="000000D4" w14:textId="77777777" w:rsidR="00E6009A" w:rsidRPr="00EA4C1F" w:rsidRDefault="00000000" w:rsidP="00EA4C1F">
      <w:pPr>
        <w:pStyle w:val="Heading3"/>
        <w:numPr>
          <w:ilvl w:val="2"/>
          <w:numId w:val="3"/>
        </w:numPr>
        <w:ind w:hanging="360"/>
        <w:jc w:val="both"/>
        <w:rPr>
          <w:rFonts w:ascii="Times New Roman" w:eastAsia="Times New Roman" w:hAnsi="Times New Roman" w:cs="Times New Roman"/>
        </w:rPr>
      </w:pPr>
      <w:sdt>
        <w:sdtPr>
          <w:rPr>
            <w:rFonts w:ascii="Times New Roman" w:hAnsi="Times New Roman" w:cs="Times New Roman"/>
          </w:rPr>
          <w:tag w:val="goog_rdk_24"/>
          <w:id w:val="229415102"/>
        </w:sdtPr>
        <w:sdtContent/>
      </w:sdt>
      <w:r w:rsidRPr="00EA4C1F">
        <w:rPr>
          <w:rFonts w:ascii="Times New Roman" w:eastAsia="Times New Roman" w:hAnsi="Times New Roman" w:cs="Times New Roman"/>
        </w:rPr>
        <w:t>Ajustes finales</w:t>
      </w:r>
      <w:bookmarkEnd w:id="23"/>
    </w:p>
    <w:p w14:paraId="000000D5" w14:textId="77777777" w:rsidR="00E6009A" w:rsidRPr="00EA4C1F" w:rsidRDefault="00E6009A" w:rsidP="00EA4C1F">
      <w:pPr>
        <w:jc w:val="both"/>
        <w:rPr>
          <w:rFonts w:ascii="Times New Roman" w:hAnsi="Times New Roman" w:cs="Times New Roman"/>
        </w:rPr>
      </w:pPr>
    </w:p>
    <w:p w14:paraId="000000D6" w14:textId="0FA0F170"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metodología de estimación prevista por la normativa local se fundamenta en los supuestos del modelo Chain Ladder, mencionados previamente. Sin embargo, en la práctica profesional, estos supuestos rara vez se cumplen. Por este motivo, el RGAA</w:t>
      </w:r>
      <w:sdt>
        <w:sdtPr>
          <w:rPr>
            <w:rFonts w:ascii="Times New Roman" w:eastAsia="Times New Roman" w:hAnsi="Times New Roman" w:cs="Times New Roman"/>
            <w:sz w:val="24"/>
            <w:szCs w:val="24"/>
          </w:rPr>
          <w:id w:val="561139475"/>
          <w:citation/>
        </w:sdtPr>
        <w:sdtContent>
          <w:r w:rsidR="001320FC">
            <w:rPr>
              <w:rFonts w:ascii="Times New Roman" w:eastAsia="Times New Roman" w:hAnsi="Times New Roman" w:cs="Times New Roman"/>
              <w:sz w:val="24"/>
              <w:szCs w:val="24"/>
            </w:rPr>
            <w:fldChar w:fldCharType="begin"/>
          </w:r>
          <w:r w:rsidR="001320FC" w:rsidRPr="00D91861">
            <w:rPr>
              <w:rFonts w:ascii="Times New Roman" w:eastAsia="Times New Roman" w:hAnsi="Times New Roman" w:cs="Times New Roman"/>
              <w:sz w:val="24"/>
              <w:szCs w:val="24"/>
            </w:rPr>
            <w:instrText xml:space="preserve"> CITATION RGAA \l 1033 </w:instrText>
          </w:r>
          <w:r w:rsidR="001320FC">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1320FC">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establece que, para cada año de ocurrencia, la reserva por siniestros IBNR no puede adoptar valores negativos. Dichos valores usualmente surgen por contextos donde pueden existir cancelaciones de pagos o liberaciones de reservas, generando desarrollos negativos en ciertas celdas del triángulo. En consecuencia, el procedimiento exige ajustar los valores negativos de IBNR y sumar los valores resultantes para determinar la reserva IBNR que deberá reflejarse en los estados contables de la aseguradora.</w:t>
      </w:r>
    </w:p>
    <w:p w14:paraId="000000D7" w14:textId="77777777" w:rsidR="00E6009A" w:rsidRPr="00EA4C1F" w:rsidRDefault="00E6009A" w:rsidP="00EA4C1F">
      <w:pPr>
        <w:jc w:val="both"/>
        <w:rPr>
          <w:rFonts w:ascii="Times New Roman" w:hAnsi="Times New Roman" w:cs="Times New Roman"/>
        </w:rPr>
      </w:pPr>
    </w:p>
    <w:p w14:paraId="000000D8" w14:textId="77777777" w:rsidR="00E6009A" w:rsidRPr="00EA4C1F" w:rsidRDefault="00000000" w:rsidP="00EA4C1F">
      <w:pPr>
        <w:pStyle w:val="Heading2"/>
        <w:numPr>
          <w:ilvl w:val="1"/>
          <w:numId w:val="3"/>
        </w:numPr>
        <w:jc w:val="both"/>
        <w:rPr>
          <w:rFonts w:ascii="Times New Roman" w:eastAsia="Times New Roman" w:hAnsi="Times New Roman" w:cs="Times New Roman"/>
        </w:rPr>
      </w:pPr>
      <w:bookmarkStart w:id="24" w:name="_Toc221446745"/>
      <w:r w:rsidRPr="00EA4C1F">
        <w:rPr>
          <w:rFonts w:ascii="Times New Roman" w:eastAsia="Times New Roman" w:hAnsi="Times New Roman" w:cs="Times New Roman"/>
        </w:rPr>
        <w:t>Metodología compatible con IFRS 17</w:t>
      </w:r>
      <w:bookmarkEnd w:id="24"/>
    </w:p>
    <w:p w14:paraId="000000D9" w14:textId="77777777" w:rsidR="00E6009A" w:rsidRPr="00EA4C1F" w:rsidRDefault="00E6009A" w:rsidP="00EA4C1F">
      <w:pPr>
        <w:jc w:val="both"/>
        <w:rPr>
          <w:rFonts w:ascii="Times New Roman" w:hAnsi="Times New Roman" w:cs="Times New Roman"/>
        </w:rPr>
      </w:pPr>
    </w:p>
    <w:p w14:paraId="000000DA" w14:textId="7AD0F256"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normativa IFRS 17</w:t>
      </w:r>
      <w:sdt>
        <w:sdtPr>
          <w:rPr>
            <w:rFonts w:ascii="Times New Roman" w:eastAsia="Times New Roman" w:hAnsi="Times New Roman" w:cs="Times New Roman"/>
            <w:sz w:val="24"/>
            <w:szCs w:val="24"/>
          </w:rPr>
          <w:id w:val="-1171719368"/>
          <w:citation/>
        </w:sdtPr>
        <w:sdtContent>
          <w:r w:rsidR="00D91861">
            <w:rPr>
              <w:rFonts w:ascii="Times New Roman" w:eastAsia="Times New Roman" w:hAnsi="Times New Roman" w:cs="Times New Roman"/>
              <w:sz w:val="24"/>
              <w:szCs w:val="24"/>
            </w:rPr>
            <w:fldChar w:fldCharType="begin"/>
          </w:r>
          <w:r w:rsidR="00D91861" w:rsidRPr="00D91861">
            <w:rPr>
              <w:rFonts w:ascii="Times New Roman" w:eastAsia="Times New Roman" w:hAnsi="Times New Roman" w:cs="Times New Roman"/>
              <w:sz w:val="24"/>
              <w:szCs w:val="24"/>
            </w:rPr>
            <w:instrText xml:space="preserve"> CITATION IFRS17 \l 1033 </w:instrText>
          </w:r>
          <w:r w:rsidR="00D9186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D9186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establece un marco conceptual basado en la medición económica de los contratos de seguros. Como se mencionó </w:t>
      </w:r>
      <w:r w:rsidRPr="00EA4C1F">
        <w:rPr>
          <w:rFonts w:ascii="Times New Roman" w:eastAsia="Times New Roman" w:hAnsi="Times New Roman" w:cs="Times New Roman"/>
          <w:sz w:val="24"/>
          <w:szCs w:val="24"/>
        </w:rPr>
        <w:lastRenderedPageBreak/>
        <w:t xml:space="preserve">anteriormente, dicha norma define tres modelos de valuación. Para este trabajo, se utilizó el Building Block </w:t>
      </w:r>
      <w:proofErr w:type="spellStart"/>
      <w:r w:rsidRPr="00EA4C1F">
        <w:rPr>
          <w:rFonts w:ascii="Times New Roman" w:eastAsia="Times New Roman" w:hAnsi="Times New Roman" w:cs="Times New Roman"/>
          <w:sz w:val="24"/>
          <w:szCs w:val="24"/>
        </w:rPr>
        <w:t>Approach</w:t>
      </w:r>
      <w:proofErr w:type="spellEnd"/>
      <w:r w:rsidRPr="00EA4C1F">
        <w:rPr>
          <w:rFonts w:ascii="Times New Roman" w:eastAsia="Times New Roman" w:hAnsi="Times New Roman" w:cs="Times New Roman"/>
          <w:sz w:val="24"/>
          <w:szCs w:val="24"/>
        </w:rPr>
        <w:t xml:space="preserve"> dado que se lo considera como el método estándar </w:t>
      </w:r>
      <w:r w:rsidR="00D91861" w:rsidRPr="00EA4C1F">
        <w:rPr>
          <w:rFonts w:ascii="Times New Roman" w:eastAsia="Times New Roman" w:hAnsi="Times New Roman" w:cs="Times New Roman"/>
          <w:sz w:val="24"/>
          <w:szCs w:val="24"/>
        </w:rPr>
        <w:t>y por</w:t>
      </w:r>
      <w:r w:rsidRPr="00EA4C1F">
        <w:rPr>
          <w:rFonts w:ascii="Times New Roman" w:eastAsia="Times New Roman" w:hAnsi="Times New Roman" w:cs="Times New Roman"/>
          <w:sz w:val="24"/>
          <w:szCs w:val="24"/>
        </w:rPr>
        <w:t xml:space="preserve"> la metodología requerida, sirve como un buen punto de comparación con respecto a la metodología de la normativa local.</w:t>
      </w:r>
    </w:p>
    <w:p w14:paraId="000000DB" w14:textId="77777777" w:rsidR="00E6009A" w:rsidRPr="00EA4C1F" w:rsidRDefault="00000000" w:rsidP="00EA4C1F">
      <w:pPr>
        <w:pStyle w:val="Heading3"/>
        <w:numPr>
          <w:ilvl w:val="2"/>
          <w:numId w:val="3"/>
        </w:numPr>
        <w:ind w:hanging="360"/>
        <w:jc w:val="both"/>
        <w:rPr>
          <w:rFonts w:ascii="Times New Roman" w:hAnsi="Times New Roman" w:cs="Times New Roman"/>
        </w:rPr>
      </w:pPr>
      <w:bookmarkStart w:id="25" w:name="_Toc221446746"/>
      <w:r w:rsidRPr="00EA4C1F">
        <w:rPr>
          <w:rFonts w:ascii="Times New Roman" w:hAnsi="Times New Roman" w:cs="Times New Roman"/>
        </w:rPr>
        <w:t>Medición de siniestros</w:t>
      </w:r>
      <w:bookmarkEnd w:id="25"/>
    </w:p>
    <w:p w14:paraId="000000DC" w14:textId="6D56B335"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Con objetivo de comparación, se utilizó el método de Chain Ladder teniendo en cuenta las libertades que ofrece la IFRS 17</w:t>
      </w:r>
      <w:sdt>
        <w:sdtPr>
          <w:rPr>
            <w:rFonts w:ascii="Times New Roman" w:eastAsia="Times New Roman" w:hAnsi="Times New Roman" w:cs="Times New Roman"/>
            <w:sz w:val="24"/>
            <w:szCs w:val="24"/>
          </w:rPr>
          <w:id w:val="-1050760694"/>
          <w:citation/>
        </w:sdtPr>
        <w:sdtContent>
          <w:r w:rsidR="00D91861">
            <w:rPr>
              <w:rFonts w:ascii="Times New Roman" w:eastAsia="Times New Roman" w:hAnsi="Times New Roman" w:cs="Times New Roman"/>
              <w:sz w:val="24"/>
              <w:szCs w:val="24"/>
            </w:rPr>
            <w:fldChar w:fldCharType="begin"/>
          </w:r>
          <w:r w:rsidR="00D91861" w:rsidRPr="00D91861">
            <w:rPr>
              <w:rFonts w:ascii="Times New Roman" w:eastAsia="Times New Roman" w:hAnsi="Times New Roman" w:cs="Times New Roman"/>
              <w:sz w:val="24"/>
              <w:szCs w:val="24"/>
            </w:rPr>
            <w:instrText xml:space="preserve"> CITATION IFRS17 \l 1033 </w:instrText>
          </w:r>
          <w:r w:rsidR="00D9186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D9186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De esta forma, los datos se organizan de la misma manera que por el RGAA</w:t>
      </w:r>
      <w:sdt>
        <w:sdtPr>
          <w:rPr>
            <w:rFonts w:ascii="Times New Roman" w:eastAsia="Times New Roman" w:hAnsi="Times New Roman" w:cs="Times New Roman"/>
            <w:sz w:val="24"/>
            <w:szCs w:val="24"/>
          </w:rPr>
          <w:id w:val="592050742"/>
          <w:citation/>
        </w:sdtPr>
        <w:sdtContent>
          <w:r w:rsidR="00D91861">
            <w:rPr>
              <w:rFonts w:ascii="Times New Roman" w:eastAsia="Times New Roman" w:hAnsi="Times New Roman" w:cs="Times New Roman"/>
              <w:sz w:val="24"/>
              <w:szCs w:val="24"/>
            </w:rPr>
            <w:fldChar w:fldCharType="begin"/>
          </w:r>
          <w:r w:rsidR="00D91861" w:rsidRPr="00D91861">
            <w:rPr>
              <w:rFonts w:ascii="Times New Roman" w:eastAsia="Times New Roman" w:hAnsi="Times New Roman" w:cs="Times New Roman"/>
              <w:sz w:val="24"/>
              <w:szCs w:val="24"/>
            </w:rPr>
            <w:instrText xml:space="preserve"> CITATION RGAA \l 1033 </w:instrText>
          </w:r>
          <w:r w:rsidR="00D9186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D9186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es decir:</w:t>
      </w:r>
    </w:p>
    <w:p w14:paraId="000000DD" w14:textId="77777777" w:rsidR="00E6009A" w:rsidRPr="00EA4C1F" w:rsidRDefault="00000000" w:rsidP="00EA4C1F">
      <w:pPr>
        <w:numPr>
          <w:ilvl w:val="0"/>
          <w:numId w:val="10"/>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Orden por año de ocurrencia y período de desarrollo, de modo que permiten reconstruir la evolución temporal de pagos e incurridos. </w:t>
      </w:r>
    </w:p>
    <w:p w14:paraId="000000DE" w14:textId="77777777" w:rsidR="00E6009A" w:rsidRPr="00EA4C1F" w:rsidRDefault="00000000" w:rsidP="00EA4C1F">
      <w:pPr>
        <w:numPr>
          <w:ilvl w:val="0"/>
          <w:numId w:val="10"/>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Se asume que no existen anomalías</w:t>
      </w:r>
    </w:p>
    <w:p w14:paraId="000000DF" w14:textId="77777777" w:rsidR="00E6009A" w:rsidRPr="00EA4C1F" w:rsidRDefault="00000000" w:rsidP="00EA4C1F">
      <w:pPr>
        <w:numPr>
          <w:ilvl w:val="0"/>
          <w:numId w:val="10"/>
        </w:num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Se actualizan a la fecha de valuación 30 de julio del 2024, siguiendo el índice FACPCE.</w:t>
      </w:r>
    </w:p>
    <w:p w14:paraId="000000E0" w14:textId="338B4592"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Si bien las características de la base de datos utilizada imponen restricciones que obligan a mantener la estructura del triángulo para este análisis, la norma IFRS 17</w:t>
      </w:r>
      <w:sdt>
        <w:sdtPr>
          <w:rPr>
            <w:rFonts w:ascii="Times New Roman" w:eastAsia="Times New Roman" w:hAnsi="Times New Roman" w:cs="Times New Roman"/>
            <w:sz w:val="24"/>
            <w:szCs w:val="24"/>
          </w:rPr>
          <w:id w:val="1543632131"/>
          <w:citation/>
        </w:sdtPr>
        <w:sdtContent>
          <w:r w:rsidR="00D91861">
            <w:rPr>
              <w:rFonts w:ascii="Times New Roman" w:eastAsia="Times New Roman" w:hAnsi="Times New Roman" w:cs="Times New Roman"/>
              <w:sz w:val="24"/>
              <w:szCs w:val="24"/>
            </w:rPr>
            <w:fldChar w:fldCharType="begin"/>
          </w:r>
          <w:r w:rsidR="00D91861" w:rsidRPr="00D91861">
            <w:rPr>
              <w:rFonts w:ascii="Times New Roman" w:eastAsia="Times New Roman" w:hAnsi="Times New Roman" w:cs="Times New Roman"/>
              <w:sz w:val="24"/>
              <w:szCs w:val="24"/>
            </w:rPr>
            <w:instrText xml:space="preserve"> CITATION IFRS17 \l 1033 </w:instrText>
          </w:r>
          <w:r w:rsidR="00D9186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D9186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ofrece mayor flexibilidad metodológica. En particular, permite agrupar períodos de desarrollo u ocurrencia en intervalos inferiores al año, así como, definir umbrales específicos para la exclusión de siniestros extraordinarios. Todos estos cambios deben estar justificados técnicamente y ser coherentes con el comportamiento real de la cartera.</w:t>
      </w:r>
    </w:p>
    <w:p w14:paraId="000000E1" w14:textId="65C684A5"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Una vez construido el triángulo de siniestros acumulados y estimados los factores de desarrollo individuales de la misma forma que en la metodología del RGAA</w:t>
      </w:r>
      <w:sdt>
        <w:sdtPr>
          <w:rPr>
            <w:rFonts w:ascii="Times New Roman" w:eastAsia="Times New Roman" w:hAnsi="Times New Roman" w:cs="Times New Roman"/>
            <w:sz w:val="24"/>
            <w:szCs w:val="24"/>
          </w:rPr>
          <w:id w:val="-255067150"/>
          <w:citation/>
        </w:sdtPr>
        <w:sdtContent>
          <w:r w:rsidR="00D91861">
            <w:rPr>
              <w:rFonts w:ascii="Times New Roman" w:eastAsia="Times New Roman" w:hAnsi="Times New Roman" w:cs="Times New Roman"/>
              <w:sz w:val="24"/>
              <w:szCs w:val="24"/>
            </w:rPr>
            <w:fldChar w:fldCharType="begin"/>
          </w:r>
          <w:r w:rsidR="00D91861" w:rsidRPr="00D91861">
            <w:rPr>
              <w:rFonts w:ascii="Times New Roman" w:eastAsia="Times New Roman" w:hAnsi="Times New Roman" w:cs="Times New Roman"/>
              <w:sz w:val="24"/>
              <w:szCs w:val="24"/>
            </w:rPr>
            <w:instrText xml:space="preserve"> CITATION RGAA \l 1033 </w:instrText>
          </w:r>
          <w:r w:rsidR="00D9186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D9186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se procede a extrapolar dichos factores. Esto es necesario ya que, en el caso RC Autos, la naturaleza de cola larga implica que continuará existiendo desarrollo de siniestros </w:t>
      </w:r>
      <w:r w:rsidRPr="00EA4C1F">
        <w:rPr>
          <w:rFonts w:ascii="Times New Roman" w:eastAsia="Times New Roman" w:hAnsi="Times New Roman" w:cs="Times New Roman"/>
          <w:sz w:val="24"/>
          <w:szCs w:val="24"/>
        </w:rPr>
        <w:lastRenderedPageBreak/>
        <w:t xml:space="preserve">más allá de los observados en la base. En lugar de aplicar un único factor de cola, se define una suavización con el fin de obtener una transición más coherente entre los factores. </w:t>
      </w:r>
    </w:p>
    <w:p w14:paraId="512E824C" w14:textId="72767F32" w:rsidR="00176D78"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Para ello, se utilizó el método de suavización por potencia inversa</w:t>
      </w:r>
      <w:sdt>
        <w:sdtPr>
          <w:rPr>
            <w:rFonts w:ascii="Times New Roman" w:eastAsia="Times New Roman" w:hAnsi="Times New Roman" w:cs="Times New Roman"/>
            <w:sz w:val="24"/>
            <w:szCs w:val="24"/>
          </w:rPr>
          <w:id w:val="-1265687306"/>
          <w:citation/>
        </w:sdtPr>
        <w:sdtContent>
          <w:r w:rsidR="00D91861">
            <w:rPr>
              <w:rFonts w:ascii="Times New Roman" w:eastAsia="Times New Roman" w:hAnsi="Times New Roman" w:cs="Times New Roman"/>
              <w:sz w:val="24"/>
              <w:szCs w:val="24"/>
            </w:rPr>
            <w:fldChar w:fldCharType="begin"/>
          </w:r>
          <w:r w:rsidR="00D91861" w:rsidRPr="00D91861">
            <w:rPr>
              <w:rFonts w:ascii="Times New Roman" w:eastAsia="Times New Roman" w:hAnsi="Times New Roman" w:cs="Times New Roman"/>
              <w:sz w:val="24"/>
              <w:szCs w:val="24"/>
            </w:rPr>
            <w:instrText xml:space="preserve"> CITATION RIC99 \l 1033 </w:instrText>
          </w:r>
          <w:r w:rsidR="00D91861">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(SHERMAN, 1999)</w:t>
          </w:r>
          <w:r w:rsidR="00D91861">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el cual, asume que los factores de desarrollo se modelan según la siguiente expresión:</w:t>
      </w:r>
    </w:p>
    <w:p w14:paraId="6FA88804" w14:textId="2F77027B" w:rsidR="00D91861" w:rsidRPr="00D91861" w:rsidRDefault="00000000" w:rsidP="00EA4C1F">
      <w:pPr>
        <w:spacing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fd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=1+a*</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t</m:t>
                  </m:r>
                </m:e>
                <m:sup>
                  <m:r>
                    <w:rPr>
                      <w:rFonts w:ascii="Cambria Math" w:eastAsia="Times New Roman" w:hAnsi="Cambria Math" w:cs="Times New Roman"/>
                      <w:sz w:val="24"/>
                      <w:szCs w:val="24"/>
                    </w:rPr>
                    <m:t>-b</m:t>
                  </m:r>
                </m:sup>
              </m:sSup>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m:t>
                  </m:r>
                </m:e>
              </m:d>
            </m:e>
          </m:eqArr>
        </m:oMath>
      </m:oMathPara>
    </w:p>
    <w:p w14:paraId="000000E4"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Donde:</w:t>
      </w:r>
    </w:p>
    <w:p w14:paraId="000000E5" w14:textId="6CDA6910" w:rsidR="00E6009A" w:rsidRPr="00176D78" w:rsidRDefault="00176D78" w:rsidP="00176D78">
      <w:pPr>
        <w:pStyle w:val="ListParagraph"/>
        <w:numPr>
          <w:ilvl w:val="0"/>
          <w:numId w:val="16"/>
        </w:numPr>
        <w:spacing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fd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t</m:t>
            </m:r>
          </m:sub>
        </m:sSub>
      </m:oMath>
      <w:r w:rsidRPr="00176D78">
        <w:rPr>
          <w:rFonts w:ascii="Times New Roman" w:eastAsia="Times New Roman" w:hAnsi="Times New Roman" w:cs="Times New Roman"/>
          <w:sz w:val="24"/>
          <w:szCs w:val="24"/>
        </w:rPr>
        <w:t xml:space="preserve"> es el factor de desarrollo en</w:t>
      </w:r>
      <w:r w:rsidR="00FC42E8">
        <w:rPr>
          <w:rFonts w:ascii="Times New Roman" w:eastAsia="Times New Roman" w:hAnsi="Times New Roman" w:cs="Times New Roman"/>
          <w:sz w:val="24"/>
          <w:szCs w:val="24"/>
        </w:rPr>
        <w:t xml:space="preserve"> el periodo “t”</w:t>
      </w:r>
    </w:p>
    <w:p w14:paraId="288FB2A2" w14:textId="378EA0A0" w:rsidR="00FC42E8" w:rsidRPr="00FC42E8" w:rsidRDefault="00FC42E8" w:rsidP="00FC42E8">
      <w:pPr>
        <w:pStyle w:val="ListParagraph"/>
        <w:numPr>
          <w:ilvl w:val="0"/>
          <w:numId w:val="16"/>
        </w:numPr>
        <w:spacing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b</m:t>
        </m:r>
      </m:oMath>
      <w:r>
        <w:rPr>
          <w:rFonts w:ascii="Times New Roman" w:eastAsia="Times New Roman" w:hAnsi="Times New Roman" w:cs="Times New Roman"/>
          <w:sz w:val="24"/>
          <w:szCs w:val="24"/>
        </w:rPr>
        <w:t xml:space="preserve"> son </w:t>
      </w:r>
      <w:proofErr w:type="gramStart"/>
      <w:r>
        <w:rPr>
          <w:rFonts w:ascii="Times New Roman" w:eastAsia="Times New Roman" w:hAnsi="Times New Roman" w:cs="Times New Roman"/>
          <w:sz w:val="24"/>
          <w:szCs w:val="24"/>
        </w:rPr>
        <w:t>parámetros a estimar</w:t>
      </w:r>
      <w:proofErr w:type="gramEnd"/>
    </w:p>
    <w:p w14:paraId="000000E7" w14:textId="52BD7E5B" w:rsidR="00E6009A" w:rsidRDefault="00D91861" w:rsidP="00EA4C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Ecuación 5</w:t>
      </w:r>
      <w:r w:rsidRPr="00EA4C1F">
        <w:rPr>
          <w:rFonts w:ascii="Times New Roman" w:eastAsia="Times New Roman" w:hAnsi="Times New Roman" w:cs="Times New Roman"/>
          <w:sz w:val="24"/>
          <w:szCs w:val="24"/>
        </w:rPr>
        <w:t xml:space="preserve"> permite modelar un patrón decreciente y asintótico hacia 1, consistente con el comportamiento esperado en ramos de cola larga. Luego, se linealiza la expresión aplicando logaritmos naturales y reordenando términos, resultando así, una relación aproximadamente lineal. Esto permite ajustar una regresión lineal por el método de mínimos cuadrados para estimar los parámetros “a” y “b”. </w:t>
      </w:r>
    </w:p>
    <w:p w14:paraId="421B9F48" w14:textId="72D0D7AE" w:rsidR="00D91861" w:rsidRPr="00D91861" w:rsidRDefault="00000000" w:rsidP="00D91861">
      <w:pPr>
        <w:spacing w:after="240"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fd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-1</m:t>
                      </m:r>
                    </m:e>
                  </m:d>
                </m:e>
              </m:func>
              <m:r>
                <w:rPr>
                  <w:rFonts w:ascii="Cambria Math" w:eastAsia="Times New Roman" w:hAnsi="Cambria Math" w:cs="Times New Roman"/>
                  <w:sz w:val="24"/>
                  <w:szCs w:val="24"/>
                </w:rPr>
                <m:t>=</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e>
              </m:func>
              <m:r>
                <w:rPr>
                  <w:rFonts w:ascii="Cambria Math" w:eastAsia="Times New Roman" w:hAnsi="Cambria Math" w:cs="Times New Roman"/>
                  <w:sz w:val="24"/>
                  <w:szCs w:val="24"/>
                </w:rPr>
                <m:t>+b</m:t>
              </m:r>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ln</m:t>
                  </m:r>
                </m:fName>
                <m:e>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t</m:t>
                          </m:r>
                        </m:den>
                      </m:f>
                    </m:e>
                  </m:d>
                </m:e>
              </m:func>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6</m:t>
                  </m:r>
                </m:e>
              </m:d>
            </m:e>
          </m:eqArr>
        </m:oMath>
      </m:oMathPara>
    </w:p>
    <w:p w14:paraId="77C8700C" w14:textId="77777777" w:rsidR="00D91861" w:rsidRDefault="00D91861" w:rsidP="00D91861">
      <w:pPr>
        <w:spacing w:before="240"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64C128B0" w14:textId="77777777" w:rsidR="00D91861" w:rsidRPr="00176D78" w:rsidRDefault="00D91861" w:rsidP="00D91861">
      <w:pPr>
        <w:pStyle w:val="ListParagraph"/>
        <w:numPr>
          <w:ilvl w:val="0"/>
          <w:numId w:val="16"/>
        </w:numPr>
        <w:spacing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fd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t</m:t>
            </m:r>
          </m:sub>
        </m:sSub>
      </m:oMath>
      <w:r w:rsidRPr="00176D78">
        <w:rPr>
          <w:rFonts w:ascii="Times New Roman" w:eastAsia="Times New Roman" w:hAnsi="Times New Roman" w:cs="Times New Roman"/>
          <w:sz w:val="24"/>
          <w:szCs w:val="24"/>
        </w:rPr>
        <w:t xml:space="preserve"> es el factor de desarrollo en</w:t>
      </w:r>
      <w:r>
        <w:rPr>
          <w:rFonts w:ascii="Times New Roman" w:eastAsia="Times New Roman" w:hAnsi="Times New Roman" w:cs="Times New Roman"/>
          <w:sz w:val="24"/>
          <w:szCs w:val="24"/>
        </w:rPr>
        <w:t xml:space="preserve"> el periodo “t”</w:t>
      </w:r>
    </w:p>
    <w:p w14:paraId="3A55E0FD" w14:textId="53A6D5EB" w:rsidR="00D91861" w:rsidRPr="00D91861" w:rsidRDefault="00D91861" w:rsidP="00D91861">
      <w:pPr>
        <w:pStyle w:val="ListParagraph"/>
        <w:numPr>
          <w:ilvl w:val="0"/>
          <w:numId w:val="16"/>
        </w:numPr>
        <w:spacing w:after="0"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b</m:t>
        </m:r>
      </m:oMath>
      <w:r>
        <w:rPr>
          <w:rFonts w:ascii="Times New Roman" w:eastAsia="Times New Roman" w:hAnsi="Times New Roman" w:cs="Times New Roman"/>
          <w:sz w:val="24"/>
          <w:szCs w:val="24"/>
        </w:rPr>
        <w:t xml:space="preserve"> son </w:t>
      </w:r>
      <w:proofErr w:type="gramStart"/>
      <w:r>
        <w:rPr>
          <w:rFonts w:ascii="Times New Roman" w:eastAsia="Times New Roman" w:hAnsi="Times New Roman" w:cs="Times New Roman"/>
          <w:sz w:val="24"/>
          <w:szCs w:val="24"/>
        </w:rPr>
        <w:t>parámetros a estimar</w:t>
      </w:r>
      <w:proofErr w:type="gramEnd"/>
    </w:p>
    <w:p w14:paraId="000000E8" w14:textId="522530A8" w:rsidR="00E6009A" w:rsidRPr="00EA4C1F" w:rsidRDefault="00000000" w:rsidP="00D91861">
      <w:pPr>
        <w:spacing w:before="240"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Una vez obtenidos los parámetros, se extrapolan los </w:t>
      </w:r>
      <w:proofErr w:type="spellStart"/>
      <w:r w:rsidRPr="00EA4C1F">
        <w:rPr>
          <w:rFonts w:ascii="Times New Roman" w:eastAsia="Times New Roman" w:hAnsi="Times New Roman" w:cs="Times New Roman"/>
          <w:sz w:val="24"/>
          <w:szCs w:val="24"/>
        </w:rPr>
        <w:t>FDIs</w:t>
      </w:r>
      <w:proofErr w:type="spellEnd"/>
      <w:r w:rsidRPr="00EA4C1F">
        <w:rPr>
          <w:rFonts w:ascii="Times New Roman" w:eastAsia="Times New Roman" w:hAnsi="Times New Roman" w:cs="Times New Roman"/>
          <w:sz w:val="24"/>
          <w:szCs w:val="24"/>
        </w:rPr>
        <w:t xml:space="preserve">, incrementando el valor de “t” hasta alcanzar un criterio de convergencia. Dicho criterio se define en este trabajo como el punto en el cual el incremento marginal del factor se vuelve menor a 0,0001 o alcanza los 15 años adicionales </w:t>
      </w:r>
      <w:r w:rsidRPr="00EA4C1F">
        <w:rPr>
          <w:rFonts w:ascii="Times New Roman" w:eastAsia="Times New Roman" w:hAnsi="Times New Roman" w:cs="Times New Roman"/>
          <w:sz w:val="24"/>
          <w:szCs w:val="24"/>
        </w:rPr>
        <w:lastRenderedPageBreak/>
        <w:t>de desarrollo. Al alcanzar este umbral, el siguiente periodo de la función decreciente se considera no significativo.</w:t>
      </w:r>
    </w:p>
    <w:p w14:paraId="000000E9" w14:textId="7C56462A"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Por último, se continúa con el procedimiento análogo al establecido en el RGAA. A partir de los </w:t>
      </w:r>
      <w:proofErr w:type="spellStart"/>
      <w:r w:rsidRPr="00EA4C1F">
        <w:rPr>
          <w:rFonts w:ascii="Times New Roman" w:eastAsia="Times New Roman" w:hAnsi="Times New Roman" w:cs="Times New Roman"/>
          <w:sz w:val="24"/>
          <w:szCs w:val="24"/>
        </w:rPr>
        <w:t>FDIs</w:t>
      </w:r>
      <w:proofErr w:type="spellEnd"/>
      <w:r w:rsidRPr="00EA4C1F">
        <w:rPr>
          <w:rFonts w:ascii="Times New Roman" w:eastAsia="Times New Roman" w:hAnsi="Times New Roman" w:cs="Times New Roman"/>
          <w:sz w:val="24"/>
          <w:szCs w:val="24"/>
        </w:rPr>
        <w:t xml:space="preserve"> se calculan los </w:t>
      </w:r>
      <w:proofErr w:type="spellStart"/>
      <w:r w:rsidRPr="00EA4C1F">
        <w:rPr>
          <w:rFonts w:ascii="Times New Roman" w:eastAsia="Times New Roman" w:hAnsi="Times New Roman" w:cs="Times New Roman"/>
          <w:sz w:val="24"/>
          <w:szCs w:val="24"/>
        </w:rPr>
        <w:t>FDAs</w:t>
      </w:r>
      <w:proofErr w:type="spellEnd"/>
      <w:r w:rsidRPr="00EA4C1F">
        <w:rPr>
          <w:rFonts w:ascii="Times New Roman" w:eastAsia="Times New Roman" w:hAnsi="Times New Roman" w:cs="Times New Roman"/>
          <w:sz w:val="24"/>
          <w:szCs w:val="24"/>
        </w:rPr>
        <w:t xml:space="preserve">, los cuales, se aplican sobre el monto de siniestros observado en el último período disponible de cada año de ocurrencia. A diferencia del esquema regulatorio local, en este enfoque, se estima un patrón de pagos por periodo, por lo que la forma de aplicar </w:t>
      </w:r>
      <w:r w:rsidR="009D7B95" w:rsidRPr="00EA4C1F">
        <w:rPr>
          <w:rFonts w:ascii="Times New Roman" w:eastAsia="Times New Roman" w:hAnsi="Times New Roman" w:cs="Times New Roman"/>
          <w:sz w:val="24"/>
          <w:szCs w:val="24"/>
        </w:rPr>
        <w:t>los</w:t>
      </w:r>
      <w:r w:rsidRPr="00EA4C1F">
        <w:rPr>
          <w:rFonts w:ascii="Times New Roman" w:eastAsia="Times New Roman" w:hAnsi="Times New Roman" w:cs="Times New Roman"/>
          <w:sz w:val="24"/>
          <w:szCs w:val="24"/>
        </w:rPr>
        <w:t xml:space="preserve"> FDA es “completar el cuadrado” del triángulo acumulado. Esto se hace multiplicando la última diagonal por todos los </w:t>
      </w:r>
      <w:proofErr w:type="spellStart"/>
      <w:r w:rsidRPr="00EA4C1F">
        <w:rPr>
          <w:rFonts w:ascii="Times New Roman" w:eastAsia="Times New Roman" w:hAnsi="Times New Roman" w:cs="Times New Roman"/>
          <w:sz w:val="24"/>
          <w:szCs w:val="24"/>
        </w:rPr>
        <w:t>FDAs</w:t>
      </w:r>
      <w:proofErr w:type="spellEnd"/>
      <w:r w:rsidRPr="00EA4C1F">
        <w:rPr>
          <w:rFonts w:ascii="Times New Roman" w:eastAsia="Times New Roman" w:hAnsi="Times New Roman" w:cs="Times New Roman"/>
          <w:sz w:val="24"/>
          <w:szCs w:val="24"/>
        </w:rPr>
        <w:t xml:space="preserve"> de periodos superiores, quedando así la última columna como lo que sería el Siniestro Ultimate en normativa local. </w:t>
      </w:r>
    </w:p>
    <w:bookmarkStart w:id="26" w:name="_Toc221446747"/>
    <w:p w14:paraId="000000EA" w14:textId="77777777" w:rsidR="00E6009A" w:rsidRPr="00EA4C1F" w:rsidRDefault="00000000" w:rsidP="00EA4C1F">
      <w:pPr>
        <w:pStyle w:val="Heading3"/>
        <w:numPr>
          <w:ilvl w:val="2"/>
          <w:numId w:val="3"/>
        </w:numPr>
        <w:ind w:hanging="360"/>
        <w:jc w:val="both"/>
        <w:rPr>
          <w:rFonts w:ascii="Times New Roman" w:hAnsi="Times New Roman" w:cs="Times New Roman"/>
        </w:rPr>
      </w:pPr>
      <w:sdt>
        <w:sdtPr>
          <w:rPr>
            <w:rFonts w:ascii="Times New Roman" w:hAnsi="Times New Roman" w:cs="Times New Roman"/>
          </w:rPr>
          <w:tag w:val="goog_rdk_26"/>
          <w:id w:val="333471063"/>
        </w:sdtPr>
        <w:sdtContent/>
      </w:sdt>
      <w:sdt>
        <w:sdtPr>
          <w:rPr>
            <w:rFonts w:ascii="Times New Roman" w:hAnsi="Times New Roman" w:cs="Times New Roman"/>
          </w:rPr>
          <w:tag w:val="goog_rdk_27"/>
          <w:id w:val="-1391810660"/>
        </w:sdtPr>
        <w:sdtContent/>
      </w:sdt>
      <w:r w:rsidRPr="00EA4C1F">
        <w:rPr>
          <w:rFonts w:ascii="Times New Roman" w:hAnsi="Times New Roman" w:cs="Times New Roman"/>
        </w:rPr>
        <w:t>Tasa de descuento</w:t>
      </w:r>
      <w:bookmarkEnd w:id="26"/>
    </w:p>
    <w:p w14:paraId="000000EB" w14:textId="77777777" w:rsidR="00E6009A" w:rsidRPr="00EA4C1F" w:rsidRDefault="00E6009A" w:rsidP="00EA4C1F">
      <w:pPr>
        <w:jc w:val="both"/>
        <w:rPr>
          <w:rFonts w:ascii="Times New Roman" w:hAnsi="Times New Roman" w:cs="Times New Roman"/>
        </w:rPr>
      </w:pPr>
    </w:p>
    <w:p w14:paraId="000000EC" w14:textId="2DC37F4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siguiente etapa en la medición del pasivo, se estima el flujo de pagos futuro asociado a la cartera. Para ello, se parte de la matriz obtenida en el bloque anterior, que contiene la evolución de los pagos y reservas acumuladas estimadas. Sobre dicha base, se calculan las diferencias entre períodos de desarrollo consecutivos, obteniendo así una matriz de pagos y reservas incrementales. </w:t>
      </w:r>
      <w:r w:rsidR="009D7B95" w:rsidRPr="00EA4C1F">
        <w:rPr>
          <w:rFonts w:ascii="Times New Roman" w:eastAsia="Times New Roman" w:hAnsi="Times New Roman" w:cs="Times New Roman"/>
          <w:sz w:val="24"/>
          <w:szCs w:val="24"/>
        </w:rPr>
        <w:t>Luego, se</w:t>
      </w:r>
      <w:r w:rsidRPr="00EA4C1F">
        <w:rPr>
          <w:rFonts w:ascii="Times New Roman" w:eastAsia="Times New Roman" w:hAnsi="Times New Roman" w:cs="Times New Roman"/>
          <w:sz w:val="24"/>
          <w:szCs w:val="24"/>
        </w:rPr>
        <w:t xml:space="preserve"> reestructura dicha matriz, utilizando el Año de Denuncia como identificador de columnas y el Año de Ocurrencia como identificador de filas. Esto lo que da lugar a una estructura tipo paralelogramo. Se seleccionan las celdas correspondientes a períodos posteriores a la fecha de valuación (30 de junio de 2024) y se suman por columna, obteniendo así, el patrón de pagos estimados de la cartera.</w:t>
      </w:r>
    </w:p>
    <w:p w14:paraId="000000ED" w14:textId="62D86399"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Una vez obtenido el flujo estimado de la cartera de seguros, se puede aplicar una </w:t>
      </w:r>
      <w:r w:rsidR="009D7B95">
        <w:rPr>
          <w:rFonts w:ascii="Times New Roman" w:eastAsia="Times New Roman" w:hAnsi="Times New Roman" w:cs="Times New Roman"/>
          <w:sz w:val="24"/>
          <w:szCs w:val="24"/>
        </w:rPr>
        <w:t xml:space="preserve">curva de </w:t>
      </w:r>
      <w:r w:rsidRPr="00EA4C1F">
        <w:rPr>
          <w:rFonts w:ascii="Times New Roman" w:eastAsia="Times New Roman" w:hAnsi="Times New Roman" w:cs="Times New Roman"/>
          <w:sz w:val="24"/>
          <w:szCs w:val="24"/>
        </w:rPr>
        <w:t>tasa</w:t>
      </w:r>
      <w:r w:rsidR="009D7B95">
        <w:rPr>
          <w:rFonts w:ascii="Times New Roman" w:eastAsia="Times New Roman" w:hAnsi="Times New Roman" w:cs="Times New Roman"/>
          <w:sz w:val="24"/>
          <w:szCs w:val="24"/>
        </w:rPr>
        <w:t>s</w:t>
      </w:r>
      <w:r w:rsidRPr="00EA4C1F">
        <w:rPr>
          <w:rFonts w:ascii="Times New Roman" w:eastAsia="Times New Roman" w:hAnsi="Times New Roman" w:cs="Times New Roman"/>
          <w:sz w:val="24"/>
          <w:szCs w:val="24"/>
        </w:rPr>
        <w:t xml:space="preserve"> de descuento con el objetivo de considerar el valor tiempo dinero </w:t>
      </w:r>
      <w:r w:rsidR="009D7B95" w:rsidRPr="00EA4C1F">
        <w:rPr>
          <w:rFonts w:ascii="Times New Roman" w:eastAsia="Times New Roman" w:hAnsi="Times New Roman" w:cs="Times New Roman"/>
          <w:sz w:val="24"/>
          <w:szCs w:val="24"/>
        </w:rPr>
        <w:t>de este</w:t>
      </w:r>
      <w:r w:rsidRPr="00EA4C1F">
        <w:rPr>
          <w:rFonts w:ascii="Times New Roman" w:eastAsia="Times New Roman" w:hAnsi="Times New Roman" w:cs="Times New Roman"/>
          <w:sz w:val="24"/>
          <w:szCs w:val="24"/>
        </w:rPr>
        <w:t xml:space="preserve">. Esta </w:t>
      </w:r>
      <w:r w:rsidR="009D7B95">
        <w:rPr>
          <w:rFonts w:ascii="Times New Roman" w:eastAsia="Times New Roman" w:hAnsi="Times New Roman" w:cs="Times New Roman"/>
          <w:sz w:val="24"/>
          <w:szCs w:val="24"/>
        </w:rPr>
        <w:t>curva</w:t>
      </w:r>
      <w:r w:rsidRPr="00EA4C1F">
        <w:rPr>
          <w:rFonts w:ascii="Times New Roman" w:eastAsia="Times New Roman" w:hAnsi="Times New Roman" w:cs="Times New Roman"/>
          <w:sz w:val="24"/>
          <w:szCs w:val="24"/>
        </w:rPr>
        <w:t xml:space="preserve"> procederá a </w:t>
      </w:r>
      <w:r w:rsidRPr="00EA4C1F">
        <w:rPr>
          <w:rFonts w:ascii="Times New Roman" w:eastAsia="Times New Roman" w:hAnsi="Times New Roman" w:cs="Times New Roman"/>
          <w:sz w:val="24"/>
          <w:szCs w:val="24"/>
        </w:rPr>
        <w:lastRenderedPageBreak/>
        <w:t>partir de una estructura de tasas libres de riesgo</w:t>
      </w:r>
      <w:r w:rsidR="009D7B95">
        <w:rPr>
          <w:rFonts w:ascii="Times New Roman" w:eastAsia="Times New Roman" w:hAnsi="Times New Roman" w:cs="Times New Roman"/>
          <w:sz w:val="24"/>
          <w:szCs w:val="24"/>
        </w:rPr>
        <w:t xml:space="preserve"> con una prima por iliquidez</w:t>
      </w:r>
      <w:r w:rsidRPr="00EA4C1F">
        <w:rPr>
          <w:rFonts w:ascii="Times New Roman" w:eastAsia="Times New Roman" w:hAnsi="Times New Roman" w:cs="Times New Roman"/>
          <w:sz w:val="24"/>
          <w:szCs w:val="24"/>
        </w:rPr>
        <w:t xml:space="preserve">, las cuales pueden surgir de un enfoque Bottom Up o Top Down. En el enfoque Bottom Up, se parte de una </w:t>
      </w:r>
      <w:r w:rsidR="009D7B95">
        <w:rPr>
          <w:rFonts w:ascii="Times New Roman" w:eastAsia="Times New Roman" w:hAnsi="Times New Roman" w:cs="Times New Roman"/>
          <w:sz w:val="24"/>
          <w:szCs w:val="24"/>
        </w:rPr>
        <w:t xml:space="preserve">curva de </w:t>
      </w:r>
      <w:r w:rsidRPr="00EA4C1F">
        <w:rPr>
          <w:rFonts w:ascii="Times New Roman" w:eastAsia="Times New Roman" w:hAnsi="Times New Roman" w:cs="Times New Roman"/>
          <w:sz w:val="24"/>
          <w:szCs w:val="24"/>
        </w:rPr>
        <w:t>tasa</w:t>
      </w:r>
      <w:r w:rsidR="009D7B95">
        <w:rPr>
          <w:rFonts w:ascii="Times New Roman" w:eastAsia="Times New Roman" w:hAnsi="Times New Roman" w:cs="Times New Roman"/>
          <w:sz w:val="24"/>
          <w:szCs w:val="24"/>
        </w:rPr>
        <w:t>s</w:t>
      </w:r>
      <w:r w:rsidRPr="00EA4C1F">
        <w:rPr>
          <w:rFonts w:ascii="Times New Roman" w:eastAsia="Times New Roman" w:hAnsi="Times New Roman" w:cs="Times New Roman"/>
          <w:sz w:val="24"/>
          <w:szCs w:val="24"/>
        </w:rPr>
        <w:t xml:space="preserve"> libre de riesgos y se le agrega una prima por iliquidez, sin embargo, al estar el bien subyacente en pesos argentinos, se considera que encontrar dicha tasa, requiere de un</w:t>
      </w:r>
      <w:sdt>
        <w:sdtPr>
          <w:rPr>
            <w:rFonts w:ascii="Times New Roman" w:hAnsi="Times New Roman" w:cs="Times New Roman"/>
          </w:rPr>
          <w:tag w:val="goog_rdk_28"/>
          <w:id w:val="-1732280784"/>
        </w:sdtPr>
        <w:sdtContent/>
      </w:sdt>
      <w:r w:rsidRPr="00EA4C1F">
        <w:rPr>
          <w:rFonts w:ascii="Times New Roman" w:eastAsia="Times New Roman" w:hAnsi="Times New Roman" w:cs="Times New Roman"/>
          <w:sz w:val="24"/>
          <w:szCs w:val="24"/>
        </w:rPr>
        <w:t xml:space="preserve"> esfuerzo desproporcionado. Para derivarla, se debe implementar un enfoque Top Down, en el cual se parte de una curva de tasas de interés provenientes de un portafolio de referencia y se extrae</w:t>
      </w:r>
      <w:r w:rsidR="004B20FD">
        <w:rPr>
          <w:rFonts w:ascii="Times New Roman" w:eastAsia="Times New Roman" w:hAnsi="Times New Roman" w:cs="Times New Roman"/>
          <w:sz w:val="24"/>
          <w:szCs w:val="24"/>
        </w:rPr>
        <w:t>n</w:t>
      </w:r>
      <w:r w:rsidRPr="00EA4C1F">
        <w:rPr>
          <w:rFonts w:ascii="Times New Roman" w:eastAsia="Times New Roman" w:hAnsi="Times New Roman" w:cs="Times New Roman"/>
          <w:sz w:val="24"/>
          <w:szCs w:val="24"/>
        </w:rPr>
        <w:t xml:space="preserve"> los riesgos que no son inherentes a un contrato de seguros. Usualmente, se asume que el único riesgo significativo que no contiene un contrato de seguro es el riesgo de crédito, por lo que el método se enfocará en descontar dicho </w:t>
      </w:r>
      <w:r w:rsidR="004B20FD" w:rsidRPr="00EA4C1F">
        <w:rPr>
          <w:rFonts w:ascii="Times New Roman" w:eastAsia="Times New Roman" w:hAnsi="Times New Roman" w:cs="Times New Roman"/>
          <w:sz w:val="24"/>
          <w:szCs w:val="24"/>
        </w:rPr>
        <w:t>efecto.</w:t>
      </w:r>
    </w:p>
    <w:p w14:paraId="000000EE" w14:textId="77777777" w:rsidR="00E6009A" w:rsidRPr="00EA4C1F" w:rsidRDefault="00000000" w:rsidP="00EA4C1F">
      <w:pPr>
        <w:pStyle w:val="Heading4"/>
        <w:numPr>
          <w:ilvl w:val="3"/>
          <w:numId w:val="3"/>
        </w:numPr>
        <w:spacing w:before="240" w:after="240" w:line="480" w:lineRule="auto"/>
        <w:ind w:left="1275"/>
        <w:jc w:val="both"/>
        <w:rPr>
          <w:rFonts w:ascii="Times New Roman" w:hAnsi="Times New Roman" w:cs="Times New Roman"/>
        </w:rPr>
      </w:pPr>
      <w:bookmarkStart w:id="27" w:name="_Toc221446748"/>
      <w:r w:rsidRPr="00EA4C1F">
        <w:rPr>
          <w:rFonts w:ascii="Times New Roman" w:hAnsi="Times New Roman" w:cs="Times New Roman"/>
        </w:rPr>
        <w:t>Cartera replicante</w:t>
      </w:r>
      <w:bookmarkEnd w:id="27"/>
      <w:r w:rsidRPr="00EA4C1F">
        <w:rPr>
          <w:rFonts w:ascii="Times New Roman" w:hAnsi="Times New Roman" w:cs="Times New Roman"/>
        </w:rPr>
        <w:t xml:space="preserve"> </w:t>
      </w:r>
    </w:p>
    <w:p w14:paraId="000000EF" w14:textId="16EA5E99"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primer paso para la aplicación del enfoque Top Down, se debe construir una cartera de referencia que comparta ciertas características con los flujos del seguro como moneda y liquidez. En este caso, se </w:t>
      </w:r>
      <w:r w:rsidR="004B20FD" w:rsidRPr="00EA4C1F">
        <w:rPr>
          <w:rFonts w:ascii="Times New Roman" w:eastAsia="Times New Roman" w:hAnsi="Times New Roman" w:cs="Times New Roman"/>
          <w:sz w:val="24"/>
          <w:szCs w:val="24"/>
        </w:rPr>
        <w:t>eligió</w:t>
      </w:r>
      <w:r w:rsidRPr="00EA4C1F">
        <w:rPr>
          <w:rFonts w:ascii="Times New Roman" w:eastAsia="Times New Roman" w:hAnsi="Times New Roman" w:cs="Times New Roman"/>
          <w:sz w:val="24"/>
          <w:szCs w:val="24"/>
        </w:rPr>
        <w:t xml:space="preserve"> un conjunto de bonos soberanos ajustados por índice CER con distintas duraciones. El índice CER es un coeficiente de estabilización que refleja la variación del IPC y, por lo tanto, indexa los flujos de estos instrumentos por inflación. En forma análoga, los pagos de siniestros también se ven afectados por este </w:t>
      </w:r>
      <w:proofErr w:type="gramStart"/>
      <w:r w:rsidRPr="00EA4C1F">
        <w:rPr>
          <w:rFonts w:ascii="Times New Roman" w:eastAsia="Times New Roman" w:hAnsi="Times New Roman" w:cs="Times New Roman"/>
          <w:sz w:val="24"/>
          <w:szCs w:val="24"/>
        </w:rPr>
        <w:t>mismo causal</w:t>
      </w:r>
      <w:proofErr w:type="gramEnd"/>
      <w:r w:rsidRPr="00EA4C1F">
        <w:rPr>
          <w:rFonts w:ascii="Times New Roman" w:eastAsia="Times New Roman" w:hAnsi="Times New Roman" w:cs="Times New Roman"/>
          <w:sz w:val="24"/>
          <w:szCs w:val="24"/>
        </w:rPr>
        <w:t>, de modo que, la unidad de medida de flujos y tasa responderá principalmente a la sensibilidad por duración</w:t>
      </w:r>
      <w:r w:rsidR="004B20FD">
        <w:rPr>
          <w:rFonts w:ascii="Times New Roman" w:eastAsia="Times New Roman" w:hAnsi="Times New Roman" w:cs="Times New Roman"/>
          <w:sz w:val="24"/>
          <w:szCs w:val="24"/>
        </w:rPr>
        <w:t xml:space="preserve"> y no por el efecto </w:t>
      </w:r>
      <w:proofErr w:type="spellStart"/>
      <w:r w:rsidR="004B20FD">
        <w:rPr>
          <w:rFonts w:ascii="Times New Roman" w:eastAsia="Times New Roman" w:hAnsi="Times New Roman" w:cs="Times New Roman"/>
          <w:sz w:val="24"/>
          <w:szCs w:val="24"/>
        </w:rPr>
        <w:t>infalcionario</w:t>
      </w:r>
      <w:proofErr w:type="spellEnd"/>
      <w:r w:rsidRPr="00EA4C1F">
        <w:rPr>
          <w:rFonts w:ascii="Times New Roman" w:eastAsia="Times New Roman" w:hAnsi="Times New Roman" w:cs="Times New Roman"/>
          <w:sz w:val="24"/>
          <w:szCs w:val="24"/>
        </w:rPr>
        <w:t>. Sobre dicha cartera, se extrae una estructura de Tasas Internas de Retorno (T</w:t>
      </w:r>
      <w:r w:rsidR="004B20FD">
        <w:rPr>
          <w:rFonts w:ascii="Times New Roman" w:eastAsia="Times New Roman" w:hAnsi="Times New Roman" w:cs="Times New Roman"/>
          <w:sz w:val="24"/>
          <w:szCs w:val="24"/>
        </w:rPr>
        <w:t>I</w:t>
      </w:r>
      <w:r w:rsidRPr="00EA4C1F">
        <w:rPr>
          <w:rFonts w:ascii="Times New Roman" w:eastAsia="Times New Roman" w:hAnsi="Times New Roman" w:cs="Times New Roman"/>
          <w:sz w:val="24"/>
          <w:szCs w:val="24"/>
        </w:rPr>
        <w:t>R) por duración, de forma:</w:t>
      </w:r>
    </w:p>
    <w:p w14:paraId="51B37230" w14:textId="6C308216" w:rsidR="004B20FD" w:rsidRPr="004B20FD" w:rsidRDefault="00000000" w:rsidP="00EA4C1F">
      <w:pPr>
        <w:spacing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 xml:space="preserve">VM=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t=1</m:t>
                  </m:r>
                </m:sub>
                <m:sup>
                  <m:r>
                    <w:rPr>
                      <w:rFonts w:ascii="Cambria Math" w:eastAsia="Times New Roman" w:hAnsi="Cambria Math" w:cs="Times New Roman"/>
                      <w:sz w:val="24"/>
                      <w:szCs w:val="24"/>
                    </w:rPr>
                    <m:t>n</m:t>
                  </m:r>
                </m:sup>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m:t>
                          </m:r>
                        </m:sub>
                      </m:sSub>
                    </m:num>
                    <m:den>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1+TIR</m:t>
                              </m:r>
                            </m:e>
                          </m:d>
                        </m:e>
                        <m:sup>
                          <m:r>
                            <w:rPr>
                              <w:rFonts w:ascii="Cambria Math" w:eastAsia="Times New Roman" w:hAnsi="Cambria Math" w:cs="Times New Roman"/>
                              <w:sz w:val="24"/>
                              <w:szCs w:val="24"/>
                            </w:rPr>
                            <m:t>t</m:t>
                          </m:r>
                        </m:sup>
                      </m:sSup>
                    </m:den>
                  </m:f>
                </m:e>
              </m:nary>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7</m:t>
                  </m:r>
                </m:e>
              </m:d>
            </m:e>
          </m:eqArr>
        </m:oMath>
      </m:oMathPara>
    </w:p>
    <w:p w14:paraId="362E9806" w14:textId="78E5A32E" w:rsidR="00FC42E8" w:rsidRDefault="00FC42E8" w:rsidP="00EA4C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788F4A32" w14:textId="0555A7E0" w:rsidR="00FC42E8" w:rsidRDefault="00FC42E8" w:rsidP="00FC42E8">
      <w:pPr>
        <w:pStyle w:val="ListParagraph"/>
        <w:numPr>
          <w:ilvl w:val="0"/>
          <w:numId w:val="16"/>
        </w:numPr>
        <w:spacing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w:lastRenderedPageBreak/>
          <m:t>VM</m:t>
        </m:r>
      </m:oMath>
      <w:r>
        <w:rPr>
          <w:rFonts w:ascii="Times New Roman" w:eastAsia="Times New Roman" w:hAnsi="Times New Roman" w:cs="Times New Roman"/>
          <w:sz w:val="24"/>
          <w:szCs w:val="24"/>
        </w:rPr>
        <w:t xml:space="preserve"> es el Valor de Mercado del bono</w:t>
      </w:r>
    </w:p>
    <w:p w14:paraId="6145B158" w14:textId="37933B33" w:rsidR="00FC42E8" w:rsidRDefault="00FC42E8" w:rsidP="00FC42E8">
      <w:pPr>
        <w:pStyle w:val="ListParagraph"/>
        <w:numPr>
          <w:ilvl w:val="0"/>
          <w:numId w:val="16"/>
        </w:numPr>
        <w:spacing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m:t>
            </m:r>
          </m:sub>
        </m:sSub>
      </m:oMath>
      <w:r>
        <w:rPr>
          <w:rFonts w:ascii="Times New Roman" w:eastAsia="Times New Roman" w:hAnsi="Times New Roman" w:cs="Times New Roman"/>
          <w:sz w:val="24"/>
          <w:szCs w:val="24"/>
        </w:rPr>
        <w:t xml:space="preserve"> es el flujo de caja (</w:t>
      </w:r>
      <w:proofErr w:type="spellStart"/>
      <w:r>
        <w:rPr>
          <w:rFonts w:ascii="Times New Roman" w:eastAsia="Times New Roman" w:hAnsi="Times New Roman" w:cs="Times New Roman"/>
          <w:sz w:val="24"/>
          <w:szCs w:val="24"/>
        </w:rPr>
        <w:t>cashflow</w:t>
      </w:r>
      <w:proofErr w:type="spellEnd"/>
      <w:r>
        <w:rPr>
          <w:rFonts w:ascii="Times New Roman" w:eastAsia="Times New Roman" w:hAnsi="Times New Roman" w:cs="Times New Roman"/>
          <w:sz w:val="24"/>
          <w:szCs w:val="24"/>
        </w:rPr>
        <w:t>) que otorga el bono en el momento “t”</w:t>
      </w:r>
    </w:p>
    <w:p w14:paraId="560A2516" w14:textId="665BDFAF" w:rsidR="00FC42E8" w:rsidRPr="00FC42E8" w:rsidRDefault="00FC42E8" w:rsidP="00FC42E8">
      <w:pPr>
        <w:pStyle w:val="ListParagraph"/>
        <w:numPr>
          <w:ilvl w:val="0"/>
          <w:numId w:val="16"/>
        </w:numPr>
        <w:spacing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TIR</m:t>
        </m:r>
      </m:oMath>
      <w:r>
        <w:rPr>
          <w:rFonts w:ascii="Times New Roman" w:eastAsia="Times New Roman" w:hAnsi="Times New Roman" w:cs="Times New Roman"/>
          <w:sz w:val="24"/>
          <w:szCs w:val="24"/>
        </w:rPr>
        <w:t xml:space="preserve"> es la Tasa Interna de Retorno del bono</w:t>
      </w:r>
    </w:p>
    <w:p w14:paraId="000000F3" w14:textId="709F72ED" w:rsidR="00E6009A" w:rsidRPr="00963DD8" w:rsidRDefault="00000000" w:rsidP="00963DD8">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 Esta será nuestra curva de referencia, la cual se compone teóricamente de una tasa libre de riesgo y una prima (porcentual) por riesgo de crédito</w:t>
      </w:r>
      <w:r w:rsidR="00963DD8">
        <w:rPr>
          <w:rFonts w:ascii="Times New Roman" w:eastAsia="Times New Roman" w:hAnsi="Times New Roman" w:cs="Times New Roman"/>
          <w:sz w:val="24"/>
          <w:szCs w:val="24"/>
        </w:rPr>
        <w:t>.</w:t>
      </w:r>
    </w:p>
    <w:p w14:paraId="000000F4" w14:textId="77777777" w:rsidR="00E6009A" w:rsidRPr="00EA4C1F" w:rsidRDefault="00000000" w:rsidP="00EA4C1F">
      <w:pPr>
        <w:pStyle w:val="Heading4"/>
        <w:numPr>
          <w:ilvl w:val="3"/>
          <w:numId w:val="3"/>
        </w:numPr>
        <w:spacing w:line="480" w:lineRule="auto"/>
        <w:ind w:left="1275"/>
        <w:jc w:val="both"/>
        <w:rPr>
          <w:rFonts w:ascii="Times New Roman" w:eastAsia="Times New Roman" w:hAnsi="Times New Roman" w:cs="Times New Roman"/>
          <w:i w:val="0"/>
          <w:iCs w:val="0"/>
          <w:sz w:val="24"/>
          <w:szCs w:val="24"/>
        </w:rPr>
      </w:pPr>
      <w:bookmarkStart w:id="28" w:name="_Toc221446749"/>
      <w:r w:rsidRPr="00EA4C1F">
        <w:rPr>
          <w:rFonts w:ascii="Times New Roman" w:eastAsia="Times New Roman" w:hAnsi="Times New Roman" w:cs="Times New Roman"/>
          <w:i w:val="0"/>
          <w:iCs w:val="0"/>
          <w:sz w:val="24"/>
          <w:szCs w:val="24"/>
        </w:rPr>
        <w:t>Prima de Riesgo de Crédito</w:t>
      </w:r>
      <w:bookmarkEnd w:id="28"/>
    </w:p>
    <w:p w14:paraId="000000F5" w14:textId="02AC9203"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Para la estimación de una prima riesgo de crédito, primero se deberán obtener probabilidades de default de la entidad emisora de la cartera. En este caso, se utilizarán las Probabilidades de Default acumuladas promedio históricas estimadas por Fitch Ratings para soberanos con rating CCC, ya que el emisor de dichos bonos es el tesoro de Argentina. Éstas están compuestas sobre información empírica de default históricos de bonos soberanos</w:t>
      </w:r>
      <w:r w:rsidR="004B20FD">
        <w:rPr>
          <w:rFonts w:ascii="Times New Roman" w:eastAsia="Times New Roman" w:hAnsi="Times New Roman" w:cs="Times New Roman"/>
          <w:sz w:val="24"/>
          <w:szCs w:val="24"/>
        </w:rPr>
        <w:t>, como se observa en la Tabla 5.</w:t>
      </w:r>
    </w:p>
    <w:p w14:paraId="0CF63ED3" w14:textId="77777777" w:rsidR="004B20FD" w:rsidRDefault="00000000" w:rsidP="004B20FD">
      <w:pPr>
        <w:keepNext/>
        <w:spacing w:before="100" w:beforeAutospacing="1" w:after="0" w:line="480" w:lineRule="auto"/>
        <w:jc w:val="both"/>
      </w:pPr>
      <w:r w:rsidRPr="00EA4C1F">
        <w:rPr>
          <w:rFonts w:ascii="Times New Roman" w:eastAsia="Times New Roman" w:hAnsi="Times New Roman" w:cs="Times New Roman"/>
          <w:noProof/>
          <w:sz w:val="24"/>
          <w:szCs w:val="24"/>
        </w:rPr>
        <w:drawing>
          <wp:inline distT="114300" distB="114300" distL="114300" distR="114300" wp14:anchorId="4712D984" wp14:editId="392F6ACE">
            <wp:extent cx="5943600" cy="1358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1358900"/>
                    </a:xfrm>
                    <a:prstGeom prst="rect">
                      <a:avLst/>
                    </a:prstGeom>
                    <a:ln/>
                  </pic:spPr>
                </pic:pic>
              </a:graphicData>
            </a:graphic>
          </wp:inline>
        </w:drawing>
      </w:r>
    </w:p>
    <w:p w14:paraId="000000F6" w14:textId="52877969" w:rsidR="00E6009A" w:rsidRPr="004B20FD" w:rsidRDefault="004B20FD" w:rsidP="004B20FD">
      <w:pPr>
        <w:pStyle w:val="Caption"/>
        <w:jc w:val="both"/>
      </w:pPr>
      <w:r>
        <w:t xml:space="preserve">Tabla </w:t>
      </w:r>
      <w:fldSimple w:instr=" SEQ Tabla \* ARABIC ">
        <w:r w:rsidR="000E27CD">
          <w:rPr>
            <w:noProof/>
          </w:rPr>
          <w:t>5</w:t>
        </w:r>
      </w:fldSimple>
      <w:r>
        <w:t>: Probabilidades de Default acumuladas para bonos soberanos, Fitch Ratings</w:t>
      </w:r>
    </w:p>
    <w:p w14:paraId="000000F7"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Dada la complejidad del cálculo y las limitaciones de los datos, se tomarán los siguientes supuestos:</w:t>
      </w:r>
    </w:p>
    <w:p w14:paraId="000000F8" w14:textId="77777777" w:rsidR="00E6009A" w:rsidRPr="00EA4C1F" w:rsidRDefault="00000000" w:rsidP="00EA4C1F">
      <w:pPr>
        <w:numPr>
          <w:ilvl w:val="0"/>
          <w:numId w:val="4"/>
        </w:numPr>
        <w:spacing w:before="240"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diferencia entre el ajuste por índice CER y la variación de la inflación a la fecha no es significativa.</w:t>
      </w:r>
    </w:p>
    <w:p w14:paraId="000000F9" w14:textId="77777777" w:rsidR="00E6009A" w:rsidRPr="00EA4C1F" w:rsidRDefault="00000000" w:rsidP="00EA4C1F">
      <w:pPr>
        <w:numPr>
          <w:ilvl w:val="0"/>
          <w:numId w:val="4"/>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La curva de PD se comporta de manera monótonamente creciente en toda su curva y la una tasa instantánea de decremento es constante dentro del año. Esto implica que para los años 9 y 10, la PD acumulada para el Rating CCC será de 46.88%.</w:t>
      </w:r>
    </w:p>
    <w:p w14:paraId="000000FA" w14:textId="77777777" w:rsidR="00E6009A" w:rsidRPr="00EA4C1F" w:rsidRDefault="00000000" w:rsidP="00EA4C1F">
      <w:pPr>
        <w:numPr>
          <w:ilvl w:val="0"/>
          <w:numId w:val="4"/>
        </w:numPr>
        <w:spacing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pérdida dado un evento de default es 60%, constante durante la vida de la cartera.</w:t>
      </w:r>
    </w:p>
    <w:p w14:paraId="0FA744CF" w14:textId="1AA09B34" w:rsidR="00963DD8"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paso próximo, </w:t>
      </w:r>
      <w:r w:rsidR="00CA74F7">
        <w:rPr>
          <w:rFonts w:ascii="Times New Roman" w:eastAsia="Times New Roman" w:hAnsi="Times New Roman" w:cs="Times New Roman"/>
          <w:sz w:val="24"/>
          <w:szCs w:val="24"/>
        </w:rPr>
        <w:t>se sustrae una</w:t>
      </w:r>
      <w:r w:rsidRPr="00EA4C1F">
        <w:rPr>
          <w:rFonts w:ascii="Times New Roman" w:eastAsia="Times New Roman" w:hAnsi="Times New Roman" w:cs="Times New Roman"/>
          <w:sz w:val="24"/>
          <w:szCs w:val="24"/>
        </w:rPr>
        <w:t xml:space="preserve"> prima de riesgo de crédito para cada bono que compone la curva. Esta surge de replicar el instrumento teniendo en cuenta el valor esperado de los flujos del bono. Usualmente, el mercado ajusta sus variables a través del valor de mercado del instrumento. Al existir un riesgo de crédito, el precio </w:t>
      </w:r>
      <w:r w:rsidR="00CA74F7">
        <w:rPr>
          <w:rFonts w:ascii="Times New Roman" w:eastAsia="Times New Roman" w:hAnsi="Times New Roman" w:cs="Times New Roman"/>
          <w:sz w:val="24"/>
          <w:szCs w:val="24"/>
        </w:rPr>
        <w:t xml:space="preserve">del bono </w:t>
      </w:r>
      <w:r w:rsidRPr="00EA4C1F">
        <w:rPr>
          <w:rFonts w:ascii="Times New Roman" w:eastAsia="Times New Roman" w:hAnsi="Times New Roman" w:cs="Times New Roman"/>
          <w:sz w:val="24"/>
          <w:szCs w:val="24"/>
        </w:rPr>
        <w:t>se reduce dado que el monto a cobrar en caso de default es menor al del mismo instrumento con pagos garantizados</w:t>
      </w:r>
      <w:r w:rsidR="00CA74F7">
        <w:rPr>
          <w:rFonts w:ascii="Times New Roman" w:eastAsia="Times New Roman" w:hAnsi="Times New Roman" w:cs="Times New Roman"/>
          <w:sz w:val="24"/>
          <w:szCs w:val="24"/>
        </w:rPr>
        <w:t>, generando así,</w:t>
      </w:r>
      <w:r w:rsidRPr="00EA4C1F">
        <w:rPr>
          <w:rFonts w:ascii="Times New Roman" w:eastAsia="Times New Roman" w:hAnsi="Times New Roman" w:cs="Times New Roman"/>
          <w:sz w:val="24"/>
          <w:szCs w:val="24"/>
        </w:rPr>
        <w:t xml:space="preserve"> que la TIR del bono sea mayor a la de uno </w:t>
      </w:r>
      <w:proofErr w:type="gramStart"/>
      <w:r w:rsidRPr="00EA4C1F">
        <w:rPr>
          <w:rFonts w:ascii="Times New Roman" w:eastAsia="Times New Roman" w:hAnsi="Times New Roman" w:cs="Times New Roman"/>
          <w:sz w:val="24"/>
          <w:szCs w:val="24"/>
        </w:rPr>
        <w:t>idéntico</w:t>
      </w:r>
      <w:proofErr w:type="gramEnd"/>
      <w:r w:rsidRPr="00EA4C1F">
        <w:rPr>
          <w:rFonts w:ascii="Times New Roman" w:eastAsia="Times New Roman" w:hAnsi="Times New Roman" w:cs="Times New Roman"/>
          <w:sz w:val="24"/>
          <w:szCs w:val="24"/>
        </w:rPr>
        <w:t xml:space="preserve"> pero sin riesgo de crédito. </w:t>
      </w:r>
      <w:r w:rsidR="00CA74F7">
        <w:rPr>
          <w:rFonts w:ascii="Times New Roman" w:eastAsia="Times New Roman" w:hAnsi="Times New Roman" w:cs="Times New Roman"/>
          <w:sz w:val="24"/>
          <w:szCs w:val="24"/>
        </w:rPr>
        <w:t>El valor esperado de cada cash Flow se calcula de la siguiente forma:</w:t>
      </w:r>
    </w:p>
    <w:p w14:paraId="000000FC" w14:textId="0D53AE1F" w:rsidR="00E6009A" w:rsidRPr="00CA74F7" w:rsidRDefault="00000000" w:rsidP="00EA4C1F">
      <w:pPr>
        <w:spacing w:before="240" w:after="240" w:line="480" w:lineRule="auto"/>
        <w:jc w:val="both"/>
        <w:rPr>
          <w:rFonts w:ascii="Times New Roman" w:eastAsia="Times New Roman" w:hAnsi="Times New Roman" w:cs="Times New Roman"/>
        </w:rPr>
      </w:pPr>
      <m:oMathPara>
        <m:oMath>
          <m:eqArr>
            <m:eqArrPr>
              <m:maxDist m:val="1"/>
              <m:ctrlPr>
                <w:rPr>
                  <w:rFonts w:ascii="Cambria Math" w:eastAsia="Times New Roman" w:hAnsi="Cambria Math" w:cs="Times New Roman"/>
                  <w:i/>
                </w:rPr>
              </m:ctrlPr>
            </m:eqArrPr>
            <m:e>
              <m:r>
                <w:rPr>
                  <w:rFonts w:ascii="Cambria Math" w:eastAsia="Times New Roman" w:hAnsi="Cambria Math" w:cs="Times New Roman"/>
                </w:rPr>
                <m:t>E</m:t>
              </m:r>
              <m:d>
                <m:dPr>
                  <m:ctrlPr>
                    <w:rPr>
                      <w:rFonts w:ascii="Cambria Math" w:eastAsia="Times New Roman" w:hAnsi="Cambria Math" w:cs="Times New Roman"/>
                      <w:i/>
                    </w:rPr>
                  </m:ctrlPr>
                </m:dPr>
                <m:e>
                  <m:r>
                    <w:rPr>
                      <w:rFonts w:ascii="Cambria Math" w:eastAsia="Times New Roman" w:hAnsi="Cambria Math" w:cs="Times New Roman"/>
                      <w:lang w:val="en-US"/>
                    </w:rPr>
                    <m:t>C</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F</m:t>
                      </m:r>
                    </m:e>
                    <m:sub>
                      <m:r>
                        <w:rPr>
                          <w:rFonts w:ascii="Cambria Math" w:eastAsia="Times New Roman" w:hAnsi="Cambria Math" w:cs="Times New Roman"/>
                        </w:rPr>
                        <m:t>t</m:t>
                      </m:r>
                    </m:sub>
                  </m:sSub>
                </m:e>
              </m:d>
              <m:r>
                <w:rPr>
                  <w:rFonts w:ascii="Cambria Math" w:eastAsia="Times New Roman" w:hAnsi="Cambria Math" w:cs="Times New Roman"/>
                </w:rPr>
                <m:t xml:space="preserve">= </m:t>
              </m:r>
              <m:d>
                <m:dPr>
                  <m:ctrlPr>
                    <w:rPr>
                      <w:rFonts w:ascii="Cambria Math" w:eastAsia="Times New Roman" w:hAnsi="Cambria Math" w:cs="Times New Roman"/>
                      <w:i/>
                    </w:rPr>
                  </m:ctrlPr>
                </m:dPr>
                <m:e>
                  <m:r>
                    <w:rPr>
                      <w:rFonts w:ascii="Cambria Math" w:eastAsia="Times New Roman" w:hAnsi="Cambria Math" w:cs="Times New Roman"/>
                    </w:rPr>
                    <m:t>Pag</m:t>
                  </m:r>
                  <m:sSub>
                    <m:sSubPr>
                      <m:ctrlPr>
                        <w:rPr>
                          <w:rFonts w:ascii="Cambria Math" w:eastAsia="Times New Roman" w:hAnsi="Cambria Math" w:cs="Times New Roman"/>
                          <w:i/>
                          <w:lang w:val="en-US"/>
                        </w:rPr>
                      </m:ctrlPr>
                    </m:sSubPr>
                    <m:e>
                      <m:r>
                        <w:rPr>
                          <w:rFonts w:ascii="Cambria Math" w:eastAsia="Times New Roman" w:hAnsi="Cambria Math" w:cs="Times New Roman"/>
                        </w:rPr>
                        <m:t>o</m:t>
                      </m:r>
                      <m:ctrlPr>
                        <w:rPr>
                          <w:rFonts w:ascii="Cambria Math" w:eastAsia="Times New Roman" w:hAnsi="Cambria Math" w:cs="Times New Roman"/>
                          <w:i/>
                        </w:rPr>
                      </m:ctrlPr>
                    </m:e>
                    <m:sub>
                      <m:r>
                        <w:rPr>
                          <w:rFonts w:ascii="Cambria Math" w:eastAsia="Times New Roman" w:hAnsi="Cambria Math" w:cs="Times New Roman"/>
                        </w:rPr>
                        <m:t>t</m:t>
                      </m:r>
                    </m:sub>
                  </m:sSub>
                  <m:r>
                    <w:rPr>
                      <w:rFonts w:ascii="Cambria Math" w:eastAsia="Times New Roman" w:hAnsi="Cambria Math" w:cs="Times New Roman"/>
                    </w:rPr>
                    <m:t xml:space="preserve"> + Valor Residua</m:t>
                  </m:r>
                  <m:sSub>
                    <m:sSubPr>
                      <m:ctrlPr>
                        <w:rPr>
                          <w:rFonts w:ascii="Cambria Math" w:eastAsia="Times New Roman" w:hAnsi="Cambria Math" w:cs="Times New Roman"/>
                          <w:i/>
                          <w:lang w:val="en-US"/>
                        </w:rPr>
                      </m:ctrlPr>
                    </m:sSubPr>
                    <m:e>
                      <m:r>
                        <w:rPr>
                          <w:rFonts w:ascii="Cambria Math" w:eastAsia="Times New Roman" w:hAnsi="Cambria Math" w:cs="Times New Roman"/>
                        </w:rPr>
                        <m:t>l</m:t>
                      </m:r>
                      <m:ctrlPr>
                        <w:rPr>
                          <w:rFonts w:ascii="Cambria Math" w:eastAsia="Times New Roman" w:hAnsi="Cambria Math" w:cs="Times New Roman"/>
                          <w:i/>
                        </w:rPr>
                      </m:ctrlPr>
                    </m:e>
                    <m:sub>
                      <m:r>
                        <w:rPr>
                          <w:rFonts w:ascii="Cambria Math" w:eastAsia="Times New Roman" w:hAnsi="Cambria Math" w:cs="Times New Roman"/>
                        </w:rPr>
                        <m:t>t</m:t>
                      </m:r>
                    </m:sub>
                  </m:sSub>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 LGD</m:t>
                  </m:r>
                </m:e>
              </m:d>
              <m:r>
                <w:rPr>
                  <w:rFonts w:ascii="Cambria Math" w:eastAsia="Times New Roman" w:hAnsi="Cambria Math" w:cs="Times New Roman"/>
                </w:rPr>
                <m:t>* PD</m:t>
              </m:r>
              <m:sSub>
                <m:sSubPr>
                  <m:ctrlPr>
                    <w:rPr>
                      <w:rFonts w:ascii="Cambria Math" w:eastAsia="Times New Roman" w:hAnsi="Cambria Math" w:cs="Times New Roman"/>
                      <w:i/>
                      <w:lang w:val="en-US"/>
                    </w:rPr>
                  </m:ctrlPr>
                </m:sSubPr>
                <m:e>
                  <m:d>
                    <m:dPr>
                      <m:ctrlPr>
                        <w:rPr>
                          <w:rFonts w:ascii="Cambria Math" w:eastAsia="Times New Roman" w:hAnsi="Cambria Math" w:cs="Times New Roman"/>
                          <w:i/>
                          <w:lang w:val="en-US"/>
                        </w:rPr>
                      </m:ctrlPr>
                    </m:dPr>
                    <m:e>
                      <m:r>
                        <w:rPr>
                          <w:rFonts w:ascii="Cambria Math" w:eastAsia="Times New Roman" w:hAnsi="Cambria Math" w:cs="Times New Roman"/>
                        </w:rPr>
                        <m:t>t</m:t>
                      </m:r>
                    </m:e>
                  </m:d>
                  <m:ctrlPr>
                    <w:rPr>
                      <w:rFonts w:ascii="Cambria Math" w:eastAsia="Times New Roman" w:hAnsi="Cambria Math" w:cs="Times New Roman"/>
                      <w:i/>
                    </w:rPr>
                  </m:ctrlPr>
                </m:e>
                <m:sub>
                  <m:r>
                    <w:rPr>
                      <w:rFonts w:ascii="Cambria Math" w:eastAsia="Times New Roman" w:hAnsi="Cambria Math" w:cs="Times New Roman"/>
                    </w:rPr>
                    <m:t>marg</m:t>
                  </m:r>
                </m:sub>
              </m:sSub>
              <m:r>
                <w:rPr>
                  <w:rFonts w:ascii="Cambria Math" w:eastAsia="Times New Roman" w:hAnsi="Cambria Math" w:cs="Times New Roman"/>
                </w:rPr>
                <m:t xml:space="preserve"> +</m:t>
              </m:r>
              <m:ctrlPr>
                <w:rPr>
                  <w:rFonts w:ascii="Cambria Math" w:eastAsia="Cambria Math" w:hAnsi="Cambria Math" w:cs="Cambria Math"/>
                  <w:i/>
                </w:rPr>
              </m:ctrlPr>
            </m:e>
            <m:e>
              <m:r>
                <w:rPr>
                  <w:rFonts w:ascii="Cambria Math" w:eastAsia="Times New Roman" w:hAnsi="Cambria Math" w:cs="Times New Roman"/>
                </w:rPr>
                <m:t>+  Pag</m:t>
              </m:r>
              <m:sSub>
                <m:sSubPr>
                  <m:ctrlPr>
                    <w:rPr>
                      <w:rFonts w:ascii="Cambria Math" w:eastAsia="Times New Roman" w:hAnsi="Cambria Math" w:cs="Times New Roman"/>
                      <w:i/>
                      <w:lang w:val="en-US"/>
                    </w:rPr>
                  </m:ctrlPr>
                </m:sSubPr>
                <m:e>
                  <m:r>
                    <w:rPr>
                      <w:rFonts w:ascii="Cambria Math" w:eastAsia="Times New Roman" w:hAnsi="Cambria Math" w:cs="Times New Roman"/>
                    </w:rPr>
                    <m:t>o</m:t>
                  </m:r>
                  <m:ctrlPr>
                    <w:rPr>
                      <w:rFonts w:ascii="Cambria Math" w:eastAsia="Times New Roman" w:hAnsi="Cambria Math" w:cs="Times New Roman"/>
                      <w:i/>
                    </w:rPr>
                  </m:ctrlPr>
                </m:e>
                <m:sub>
                  <m:r>
                    <w:rPr>
                      <w:rFonts w:ascii="Cambria Math" w:eastAsia="Times New Roman" w:hAnsi="Cambria Math" w:cs="Times New Roman"/>
                    </w:rPr>
                    <m:t>t</m:t>
                  </m:r>
                </m:sub>
              </m:sSub>
              <m:r>
                <w:rPr>
                  <w:rFonts w:ascii="Cambria Math" w:eastAsia="Times New Roman" w:hAnsi="Cambria Math" w:cs="Times New Roman"/>
                </w:rPr>
                <m:t xml:space="preserve"> * </m:t>
              </m:r>
              <m:d>
                <m:dPr>
                  <m:ctrlPr>
                    <w:rPr>
                      <w:rFonts w:ascii="Cambria Math" w:eastAsia="Times New Roman" w:hAnsi="Cambria Math" w:cs="Times New Roman"/>
                      <w:i/>
                    </w:rPr>
                  </m:ctrlPr>
                </m:dPr>
                <m:e>
                  <m:r>
                    <w:rPr>
                      <w:rFonts w:ascii="Cambria Math" w:eastAsia="Times New Roman" w:hAnsi="Cambria Math" w:cs="Times New Roman"/>
                    </w:rPr>
                    <m:t>1-PD</m:t>
                  </m:r>
                  <m:sSub>
                    <m:sSubPr>
                      <m:ctrlPr>
                        <w:rPr>
                          <w:rFonts w:ascii="Cambria Math" w:eastAsia="Times New Roman" w:hAnsi="Cambria Math" w:cs="Times New Roman"/>
                          <w:i/>
                          <w:lang w:val="en-US"/>
                        </w:rPr>
                      </m:ctrlPr>
                    </m:sSubPr>
                    <m:e>
                      <m:d>
                        <m:dPr>
                          <m:ctrlPr>
                            <w:rPr>
                              <w:rFonts w:ascii="Cambria Math" w:eastAsia="Times New Roman" w:hAnsi="Cambria Math" w:cs="Times New Roman"/>
                              <w:i/>
                              <w:lang w:val="en-US"/>
                            </w:rPr>
                          </m:ctrlPr>
                        </m:dPr>
                        <m:e>
                          <m:r>
                            <w:rPr>
                              <w:rFonts w:ascii="Cambria Math" w:eastAsia="Times New Roman" w:hAnsi="Cambria Math" w:cs="Times New Roman"/>
                            </w:rPr>
                            <m:t>t</m:t>
                          </m:r>
                        </m:e>
                      </m:d>
                      <m:ctrlPr>
                        <w:rPr>
                          <w:rFonts w:ascii="Cambria Math" w:eastAsia="Times New Roman" w:hAnsi="Cambria Math" w:cs="Times New Roman"/>
                          <w:i/>
                        </w:rPr>
                      </m:ctrlPr>
                    </m:e>
                    <m:sub>
                      <m:r>
                        <w:rPr>
                          <w:rFonts w:ascii="Cambria Math" w:eastAsia="Times New Roman" w:hAnsi="Cambria Math" w:cs="Times New Roman"/>
                        </w:rPr>
                        <m:t>Acum</m:t>
                      </m:r>
                    </m:sub>
                  </m:sSub>
                </m:e>
              </m:d>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8</m:t>
                  </m:r>
                </m:e>
              </m:d>
            </m:e>
          </m:eqArr>
        </m:oMath>
      </m:oMathPara>
    </w:p>
    <w:p w14:paraId="000000FD" w14:textId="77777777" w:rsidR="00E6009A" w:rsidRPr="00EA4C1F" w:rsidRDefault="00000000" w:rsidP="00CA74F7">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Donde:</w:t>
      </w:r>
    </w:p>
    <w:p w14:paraId="2C25CF04" w14:textId="5ECD868E" w:rsidR="00820C22" w:rsidRDefault="00820C22" w:rsidP="00820C22">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rPr>
          <m:t>E</m:t>
        </m:r>
        <m:r>
          <w:rPr>
            <w:rFonts w:ascii="Cambria Math" w:eastAsia="Times New Roman" w:hAnsi="Cambria Math" w:cs="Times New Roman"/>
            <w:lang w:val="es-ES"/>
          </w:rPr>
          <m:t>(</m:t>
        </m:r>
        <m:r>
          <w:rPr>
            <w:rFonts w:ascii="Cambria Math" w:eastAsia="Times New Roman" w:hAnsi="Cambria Math" w:cs="Times New Roman"/>
            <w:lang w:val="en-US"/>
          </w:rPr>
          <m:t>C</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F</m:t>
            </m:r>
          </m:e>
          <m:sub>
            <m:r>
              <w:rPr>
                <w:rFonts w:ascii="Cambria Math" w:eastAsia="Times New Roman" w:hAnsi="Cambria Math" w:cs="Times New Roman"/>
              </w:rPr>
              <m:t>t</m:t>
            </m:r>
          </m:sub>
        </m:sSub>
        <m:r>
          <w:rPr>
            <w:rFonts w:ascii="Cambria Math" w:eastAsia="Times New Roman" w:hAnsi="Cambria Math" w:cs="Times New Roman"/>
            <w:lang w:val="es-ES"/>
          </w:rPr>
          <m:t xml:space="preserve">) </m:t>
        </m:r>
      </m:oMath>
      <w:r w:rsidRPr="00820C22">
        <w:rPr>
          <w:rFonts w:ascii="Times New Roman" w:eastAsia="Times New Roman" w:hAnsi="Times New Roman" w:cs="Times New Roman"/>
          <w:lang w:val="es-ES"/>
        </w:rPr>
        <w:t>es el</w:t>
      </w:r>
      <w:r>
        <w:rPr>
          <w:rFonts w:ascii="Times New Roman" w:eastAsia="Times New Roman" w:hAnsi="Times New Roman" w:cs="Times New Roman"/>
          <w:lang w:val="es-ES"/>
        </w:rPr>
        <w:t xml:space="preserve"> valor del </w:t>
      </w:r>
      <w:proofErr w:type="spellStart"/>
      <w:r>
        <w:rPr>
          <w:rFonts w:ascii="Times New Roman" w:eastAsia="Times New Roman" w:hAnsi="Times New Roman" w:cs="Times New Roman"/>
          <w:lang w:val="es-ES"/>
        </w:rPr>
        <w:t>cashflow</w:t>
      </w:r>
      <w:proofErr w:type="spellEnd"/>
      <w:r>
        <w:rPr>
          <w:rFonts w:ascii="Times New Roman" w:eastAsia="Times New Roman" w:hAnsi="Times New Roman" w:cs="Times New Roman"/>
          <w:lang w:val="es-ES"/>
        </w:rPr>
        <w:t xml:space="preserve"> que se paga en el momento “t” teniendo en cuenta las expectativas de default.</w:t>
      </w:r>
    </w:p>
    <w:p w14:paraId="682188C8" w14:textId="2EE5CAD9" w:rsidR="00820C22" w:rsidRPr="00820C22" w:rsidRDefault="00820C22" w:rsidP="00820C22">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lang w:val="es-ES"/>
          </w:rPr>
          <m:t>(</m:t>
        </m:r>
        <m:r>
          <w:rPr>
            <w:rFonts w:ascii="Cambria Math" w:eastAsia="Times New Roman" w:hAnsi="Cambria Math" w:cs="Times New Roman"/>
          </w:rPr>
          <m:t>Pag</m:t>
        </m:r>
        <m:sSub>
          <m:sSubPr>
            <m:ctrlPr>
              <w:rPr>
                <w:rFonts w:ascii="Cambria Math" w:eastAsia="Times New Roman" w:hAnsi="Cambria Math" w:cs="Times New Roman"/>
                <w:i/>
                <w:lang w:val="en-US"/>
              </w:rPr>
            </m:ctrlPr>
          </m:sSubPr>
          <m:e>
            <m:r>
              <w:rPr>
                <w:rFonts w:ascii="Cambria Math" w:eastAsia="Times New Roman" w:hAnsi="Cambria Math" w:cs="Times New Roman"/>
              </w:rPr>
              <m:t>o</m:t>
            </m:r>
            <m:ctrlPr>
              <w:rPr>
                <w:rFonts w:ascii="Cambria Math" w:eastAsia="Times New Roman" w:hAnsi="Cambria Math" w:cs="Times New Roman"/>
                <w:i/>
              </w:rPr>
            </m:ctrlPr>
          </m:e>
          <m:sub>
            <m:r>
              <w:rPr>
                <w:rFonts w:ascii="Cambria Math" w:eastAsia="Times New Roman" w:hAnsi="Cambria Math" w:cs="Times New Roman"/>
              </w:rPr>
              <m:t>t</m:t>
            </m:r>
          </m:sub>
        </m:sSub>
        <m:r>
          <w:rPr>
            <w:rFonts w:ascii="Cambria Math" w:eastAsia="Times New Roman" w:hAnsi="Cambria Math" w:cs="Times New Roman"/>
            <w:lang w:val="es-ES"/>
          </w:rPr>
          <m:t xml:space="preserve"> + </m:t>
        </m:r>
        <m:r>
          <w:rPr>
            <w:rFonts w:ascii="Cambria Math" w:eastAsia="Times New Roman" w:hAnsi="Cambria Math" w:cs="Times New Roman"/>
          </w:rPr>
          <m:t>Valor</m:t>
        </m:r>
        <m:r>
          <w:rPr>
            <w:rFonts w:ascii="Cambria Math" w:eastAsia="Times New Roman" w:hAnsi="Cambria Math" w:cs="Times New Roman"/>
            <w:lang w:val="es-ES"/>
          </w:rPr>
          <m:t xml:space="preserve"> </m:t>
        </m:r>
        <m:r>
          <w:rPr>
            <w:rFonts w:ascii="Cambria Math" w:eastAsia="Times New Roman" w:hAnsi="Cambria Math" w:cs="Times New Roman"/>
          </w:rPr>
          <m:t>Residua</m:t>
        </m:r>
        <m:sSub>
          <m:sSubPr>
            <m:ctrlPr>
              <w:rPr>
                <w:rFonts w:ascii="Cambria Math" w:eastAsia="Times New Roman" w:hAnsi="Cambria Math" w:cs="Times New Roman"/>
                <w:i/>
                <w:lang w:val="en-US"/>
              </w:rPr>
            </m:ctrlPr>
          </m:sSubPr>
          <m:e>
            <m:r>
              <w:rPr>
                <w:rFonts w:ascii="Cambria Math" w:eastAsia="Times New Roman" w:hAnsi="Cambria Math" w:cs="Times New Roman"/>
              </w:rPr>
              <m:t>l</m:t>
            </m:r>
            <m:ctrlPr>
              <w:rPr>
                <w:rFonts w:ascii="Cambria Math" w:eastAsia="Times New Roman" w:hAnsi="Cambria Math" w:cs="Times New Roman"/>
                <w:i/>
              </w:rPr>
            </m:ctrlPr>
          </m:e>
          <m:sub>
            <m:r>
              <w:rPr>
                <w:rFonts w:ascii="Cambria Math" w:eastAsia="Times New Roman" w:hAnsi="Cambria Math" w:cs="Times New Roman"/>
              </w:rPr>
              <m:t>t</m:t>
            </m:r>
          </m:sub>
        </m:sSub>
        <m:r>
          <w:rPr>
            <w:rFonts w:ascii="Cambria Math" w:eastAsia="Times New Roman" w:hAnsi="Cambria Math" w:cs="Times New Roman"/>
            <w:lang w:val="es-ES"/>
          </w:rPr>
          <m:t>)</m:t>
        </m:r>
      </m:oMath>
      <w:r w:rsidRPr="00EA4C1F">
        <w:rPr>
          <w:rFonts w:ascii="Times New Roman" w:eastAsia="Times New Roman" w:hAnsi="Times New Roman" w:cs="Times New Roman"/>
          <w:sz w:val="24"/>
          <w:szCs w:val="24"/>
        </w:rPr>
        <w:t xml:space="preserve"> es la suma del interés y el valor residual del bono en el momento </w:t>
      </w:r>
      <w:r>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t</w:t>
      </w:r>
      <w:r>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w:t>
      </w:r>
    </w:p>
    <w:p w14:paraId="000000FF" w14:textId="59CA30F7" w:rsidR="00E6009A" w:rsidRPr="00EA4C1F" w:rsidRDefault="00820C22" w:rsidP="00820C22">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rPr>
          <m:t>LGD</m:t>
        </m:r>
      </m:oMath>
      <w:r w:rsidRPr="00EA4C1F">
        <w:rPr>
          <w:rFonts w:ascii="Times New Roman" w:eastAsia="Times New Roman" w:hAnsi="Times New Roman" w:cs="Times New Roman"/>
          <w:sz w:val="24"/>
          <w:szCs w:val="24"/>
        </w:rPr>
        <w:t xml:space="preserve"> es la tasa de pérdida dado un evento de default</w:t>
      </w:r>
    </w:p>
    <w:p w14:paraId="00000100" w14:textId="2D9AE7FA" w:rsidR="00E6009A" w:rsidRPr="00EA4C1F" w:rsidRDefault="00820C22" w:rsidP="00820C22">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rPr>
          <m:t>PD</m:t>
        </m:r>
        <m:sSub>
          <m:sSubPr>
            <m:ctrlPr>
              <w:rPr>
                <w:rFonts w:ascii="Cambria Math" w:eastAsia="Times New Roman" w:hAnsi="Cambria Math" w:cs="Times New Roman"/>
                <w:i/>
                <w:lang w:val="en-US"/>
              </w:rPr>
            </m:ctrlPr>
          </m:sSubPr>
          <m:e>
            <m:d>
              <m:dPr>
                <m:ctrlPr>
                  <w:rPr>
                    <w:rFonts w:ascii="Cambria Math" w:eastAsia="Times New Roman" w:hAnsi="Cambria Math" w:cs="Times New Roman"/>
                    <w:i/>
                    <w:lang w:val="en-US"/>
                  </w:rPr>
                </m:ctrlPr>
              </m:dPr>
              <m:e>
                <m:r>
                  <w:rPr>
                    <w:rFonts w:ascii="Cambria Math" w:eastAsia="Times New Roman" w:hAnsi="Cambria Math" w:cs="Times New Roman"/>
                  </w:rPr>
                  <m:t>t</m:t>
                </m:r>
              </m:e>
            </m:d>
            <m:ctrlPr>
              <w:rPr>
                <w:rFonts w:ascii="Cambria Math" w:eastAsia="Times New Roman" w:hAnsi="Cambria Math" w:cs="Times New Roman"/>
                <w:i/>
              </w:rPr>
            </m:ctrlPr>
          </m:e>
          <m:sub>
            <m:r>
              <w:rPr>
                <w:rFonts w:ascii="Cambria Math" w:eastAsia="Times New Roman" w:hAnsi="Cambria Math" w:cs="Times New Roman"/>
              </w:rPr>
              <m:t>marg</m:t>
            </m:r>
          </m:sub>
        </m:sSub>
      </m:oMath>
      <w:r w:rsidRPr="00EA4C1F">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rPr>
        <w:t>s</w:t>
      </w:r>
      <w:r w:rsidRPr="00EA4C1F">
        <w:rPr>
          <w:rFonts w:ascii="Times New Roman" w:eastAsia="Times New Roman" w:hAnsi="Times New Roman" w:cs="Times New Roman"/>
          <w:sz w:val="24"/>
          <w:szCs w:val="24"/>
        </w:rPr>
        <w:t xml:space="preserve"> la probabilidad marginal de un evento de default en ese periodo</w:t>
      </w:r>
    </w:p>
    <w:p w14:paraId="00000101" w14:textId="452C235C" w:rsidR="00E6009A" w:rsidRPr="00EA4C1F" w:rsidRDefault="00820C22" w:rsidP="00820C22">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rPr>
          <m:t>PD</m:t>
        </m:r>
        <m:sSub>
          <m:sSubPr>
            <m:ctrlPr>
              <w:rPr>
                <w:rFonts w:ascii="Cambria Math" w:eastAsia="Times New Roman" w:hAnsi="Cambria Math" w:cs="Times New Roman"/>
                <w:i/>
                <w:lang w:val="en-US"/>
              </w:rPr>
            </m:ctrlPr>
          </m:sSubPr>
          <m:e>
            <m:d>
              <m:dPr>
                <m:ctrlPr>
                  <w:rPr>
                    <w:rFonts w:ascii="Cambria Math" w:eastAsia="Times New Roman" w:hAnsi="Cambria Math" w:cs="Times New Roman"/>
                    <w:i/>
                    <w:lang w:val="en-US"/>
                  </w:rPr>
                </m:ctrlPr>
              </m:dPr>
              <m:e>
                <m:r>
                  <w:rPr>
                    <w:rFonts w:ascii="Cambria Math" w:eastAsia="Times New Roman" w:hAnsi="Cambria Math" w:cs="Times New Roman"/>
                  </w:rPr>
                  <m:t>t</m:t>
                </m:r>
              </m:e>
            </m:d>
            <m:ctrlPr>
              <w:rPr>
                <w:rFonts w:ascii="Cambria Math" w:eastAsia="Times New Roman" w:hAnsi="Cambria Math" w:cs="Times New Roman"/>
                <w:i/>
              </w:rPr>
            </m:ctrlPr>
          </m:e>
          <m:sub>
            <m:r>
              <w:rPr>
                <w:rFonts w:ascii="Cambria Math" w:eastAsia="Times New Roman" w:hAnsi="Cambria Math" w:cs="Times New Roman"/>
              </w:rPr>
              <m:t>Acum</m:t>
            </m:r>
          </m:sub>
        </m:sSub>
      </m:oMath>
      <w:r w:rsidRPr="00EA4C1F">
        <w:rPr>
          <w:rFonts w:ascii="Times New Roman" w:eastAsia="Times New Roman" w:hAnsi="Times New Roman" w:cs="Times New Roman"/>
          <w:sz w:val="24"/>
          <w:szCs w:val="24"/>
        </w:rPr>
        <w:t xml:space="preserve"> es la probabilidad de un evento de default desde el inicio.</w:t>
      </w:r>
    </w:p>
    <w:p w14:paraId="00000102" w14:textId="3BA97ED9"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 xml:space="preserve">Dada la existencia de bonos que se pagan en periodos diferentes a las probabilidades de default consideradas, se debe interpolar valores intermedios y extrapolar valores fuera de la muestra. Esto se hace mediante un modelo </w:t>
      </w:r>
      <w:proofErr w:type="spellStart"/>
      <w:r w:rsidRPr="00EA4C1F">
        <w:rPr>
          <w:rFonts w:ascii="Times New Roman" w:eastAsia="Times New Roman" w:hAnsi="Times New Roman" w:cs="Times New Roman"/>
          <w:sz w:val="24"/>
          <w:szCs w:val="24"/>
        </w:rPr>
        <w:t>piecewise</w:t>
      </w:r>
      <w:proofErr w:type="spellEnd"/>
      <w:r w:rsidRPr="00EA4C1F">
        <w:rPr>
          <w:rFonts w:ascii="Times New Roman" w:eastAsia="Times New Roman" w:hAnsi="Times New Roman" w:cs="Times New Roman"/>
          <w:sz w:val="24"/>
          <w:szCs w:val="24"/>
        </w:rPr>
        <w:t xml:space="preserve"> </w:t>
      </w:r>
      <w:proofErr w:type="spellStart"/>
      <w:r w:rsidRPr="00EA4C1F">
        <w:rPr>
          <w:rFonts w:ascii="Times New Roman" w:eastAsia="Times New Roman" w:hAnsi="Times New Roman" w:cs="Times New Roman"/>
          <w:sz w:val="24"/>
          <w:szCs w:val="24"/>
        </w:rPr>
        <w:t>constant</w:t>
      </w:r>
      <w:proofErr w:type="spellEnd"/>
      <w:r w:rsidRPr="00EA4C1F">
        <w:rPr>
          <w:rFonts w:ascii="Times New Roman" w:eastAsia="Times New Roman" w:hAnsi="Times New Roman" w:cs="Times New Roman"/>
          <w:sz w:val="24"/>
          <w:szCs w:val="24"/>
        </w:rPr>
        <w:t xml:space="preserve"> </w:t>
      </w:r>
      <w:proofErr w:type="spellStart"/>
      <w:r w:rsidRPr="00EA4C1F">
        <w:rPr>
          <w:rFonts w:ascii="Times New Roman" w:eastAsia="Times New Roman" w:hAnsi="Times New Roman" w:cs="Times New Roman"/>
          <w:sz w:val="24"/>
          <w:szCs w:val="24"/>
        </w:rPr>
        <w:t>hazard</w:t>
      </w:r>
      <w:proofErr w:type="spellEnd"/>
      <w:sdt>
        <w:sdtPr>
          <w:rPr>
            <w:rFonts w:ascii="Times New Roman" w:eastAsia="Times New Roman" w:hAnsi="Times New Roman" w:cs="Times New Roman"/>
            <w:sz w:val="24"/>
            <w:szCs w:val="24"/>
          </w:rPr>
          <w:id w:val="-1406139343"/>
          <w:citation/>
        </w:sdtPr>
        <w:sdtContent>
          <w:r w:rsidR="006B4BBC">
            <w:rPr>
              <w:rFonts w:ascii="Times New Roman" w:eastAsia="Times New Roman" w:hAnsi="Times New Roman" w:cs="Times New Roman"/>
              <w:sz w:val="24"/>
              <w:szCs w:val="24"/>
            </w:rPr>
            <w:fldChar w:fldCharType="begin"/>
          </w:r>
          <w:r w:rsidR="006B4BBC" w:rsidRPr="006B4BBC">
            <w:rPr>
              <w:rFonts w:ascii="Times New Roman" w:eastAsia="Times New Roman" w:hAnsi="Times New Roman" w:cs="Times New Roman"/>
              <w:sz w:val="24"/>
              <w:szCs w:val="24"/>
            </w:rPr>
            <w:instrText xml:space="preserve"> CITATION JPM05 \l 1033 </w:instrText>
          </w:r>
          <w:r w:rsidR="006B4BBC">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(JP Morgan, 2005)</w:t>
          </w:r>
          <w:r w:rsidR="006B4BBC">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el cual asume que el riesgo instantáneo de default permanece constante dentro de cada intervalo temporal entre dos puntos y cambia al pasar al intervalo siguiente. De forma </w:t>
      </w:r>
      <w:r w:rsidR="006B4BBC" w:rsidRPr="00EA4C1F">
        <w:rPr>
          <w:rFonts w:ascii="Times New Roman" w:eastAsia="Times New Roman" w:hAnsi="Times New Roman" w:cs="Times New Roman"/>
          <w:sz w:val="24"/>
          <w:szCs w:val="24"/>
        </w:rPr>
        <w:t>algebraica</w:t>
      </w:r>
      <w:r w:rsidRPr="00EA4C1F">
        <w:rPr>
          <w:rFonts w:ascii="Times New Roman" w:eastAsia="Times New Roman" w:hAnsi="Times New Roman" w:cs="Times New Roman"/>
          <w:sz w:val="24"/>
          <w:szCs w:val="24"/>
        </w:rPr>
        <w:t>:</w:t>
      </w:r>
    </w:p>
    <w:p w14:paraId="00000103" w14:textId="2BC80321" w:rsidR="00E6009A" w:rsidRPr="00EA4C1F" w:rsidRDefault="00820C22" w:rsidP="00EA4C1F">
      <w:pPr>
        <w:spacing w:before="240" w:after="240"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 -ln((1-PD</m:t>
          </m:r>
          <m:sSub>
            <m:sSubPr>
              <m:ctrlPr>
                <w:rPr>
                  <w:rFonts w:ascii="Cambria Math" w:eastAsia="Times New Roman" w:hAnsi="Cambria Math" w:cs="Times New Roman"/>
                  <w:i/>
                  <w:sz w:val="24"/>
                  <w:szCs w:val="24"/>
                </w:rPr>
              </m:ctrlPr>
            </m:sSub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sub>
              <m:r>
                <w:rPr>
                  <w:rFonts w:ascii="Cambria Math" w:eastAsia="Times New Roman" w:hAnsi="Cambria Math" w:cs="Times New Roman"/>
                  <w:sz w:val="24"/>
                  <w:szCs w:val="24"/>
                </w:rPr>
                <m:t>Acum</m:t>
              </m:r>
            </m:sub>
          </m:sSub>
          <m:r>
            <w:rPr>
              <w:rFonts w:ascii="Cambria Math" w:eastAsia="Times New Roman" w:hAnsi="Cambria Math" w:cs="Times New Roman"/>
              <w:sz w:val="24"/>
              <w:szCs w:val="24"/>
            </w:rPr>
            <m:t xml:space="preserve">)) </m:t>
          </m:r>
        </m:oMath>
      </m:oMathPara>
    </w:p>
    <w:p w14:paraId="39170176" w14:textId="429FE329" w:rsidR="00001031" w:rsidRPr="00001031" w:rsidRDefault="00000000" w:rsidP="00EA4C1F">
      <w:pPr>
        <w:spacing w:before="240" w:after="240" w:line="480" w:lineRule="auto"/>
        <w:jc w:val="both"/>
        <w:rPr>
          <w:rFonts w:ascii="Times New Roman" w:eastAsia="Times New Roman" w:hAnsi="Times New Roman" w:cs="Times New Roman"/>
          <w:sz w:val="24"/>
          <w:szCs w:val="24"/>
          <w:lang w:val="en-US"/>
        </w:rPr>
      </w:pPr>
      <m:oMathPara>
        <m:oMath>
          <m:eqArr>
            <m:eqArrPr>
              <m:maxDist m:val="1"/>
              <m:ctrlPr>
                <w:rPr>
                  <w:rFonts w:ascii="Cambria Math" w:eastAsia="Times New Roman" w:hAnsi="Cambria Math" w:cs="Times New Roman"/>
                  <w:i/>
                  <w:sz w:val="24"/>
                  <w:szCs w:val="24"/>
                  <w:lang w:val="en-US"/>
                </w:rPr>
              </m:ctrlPr>
            </m:eqArrPr>
            <m:e>
              <m:r>
                <w:rPr>
                  <w:rFonts w:ascii="Cambria Math" w:eastAsia="Times New Roman" w:hAnsi="Cambria Math" w:cs="Times New Roman"/>
                  <w:sz w:val="24"/>
                  <w:szCs w:val="24"/>
                  <w:lang w:val="en-US"/>
                </w:rPr>
                <m:t>PD</m:t>
              </m:r>
              <m:sSub>
                <m:sSubPr>
                  <m:ctrlPr>
                    <w:rPr>
                      <w:rFonts w:ascii="Cambria Math" w:eastAsia="Times New Roman" w:hAnsi="Cambria Math" w:cs="Times New Roman"/>
                      <w:i/>
                      <w:sz w:val="24"/>
                      <w:szCs w:val="24"/>
                      <w:lang w:val="en-US"/>
                    </w:rPr>
                  </m:ctrlPr>
                </m:sSubPr>
                <m:e>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m:t>
                      </m:r>
                    </m:e>
                  </m:d>
                </m:e>
                <m:sub>
                  <m:r>
                    <w:rPr>
                      <w:rFonts w:ascii="Cambria Math" w:eastAsia="Times New Roman" w:hAnsi="Cambria Math" w:cs="Times New Roman"/>
                      <w:sz w:val="24"/>
                      <w:szCs w:val="24"/>
                      <w:lang w:val="en-US"/>
                    </w:rPr>
                    <m:t>Acum</m:t>
                  </m:r>
                </m:sub>
              </m:sSub>
              <m:r>
                <w:rPr>
                  <w:rFonts w:ascii="Cambria Math" w:eastAsia="Times New Roman" w:hAnsi="Cambria Math" w:cs="Times New Roman"/>
                  <w:sz w:val="24"/>
                  <w:szCs w:val="24"/>
                  <w:lang w:val="en-US"/>
                </w:rPr>
                <m:t xml:space="preserve"> = 1-</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e</m:t>
                  </m:r>
                </m:e>
                <m:sup>
                  <m:r>
                    <w:rPr>
                      <w:rFonts w:ascii="Cambria Math" w:eastAsia="Times New Roman" w:hAnsi="Cambria Math" w:cs="Times New Roman"/>
                      <w:sz w:val="24"/>
                      <w:szCs w:val="24"/>
                      <w:lang w:val="en-US"/>
                    </w:rPr>
                    <m:t xml:space="preserve">- </m:t>
                  </m:r>
                  <m:d>
                    <m:dPr>
                      <m:ctrlPr>
                        <w:rPr>
                          <w:rFonts w:ascii="Cambria Math" w:eastAsia="Times New Roman" w:hAnsi="Cambria Math" w:cs="Times New Roman"/>
                          <w:i/>
                          <w:sz w:val="24"/>
                          <w:szCs w:val="24"/>
                          <w:lang w:val="en-US"/>
                        </w:rPr>
                      </m:ctrlPr>
                    </m:dPr>
                    <m:e>
                      <m:d>
                        <m:dPr>
                          <m:ctrlPr>
                            <w:rPr>
                              <w:rFonts w:ascii="Cambria Math" w:eastAsia="Times New Roman" w:hAnsi="Cambria Math" w:cs="Times New Roman"/>
                              <w:i/>
                              <w:sz w:val="24"/>
                              <w:szCs w:val="24"/>
                              <w:lang w:val="en-US"/>
                            </w:rPr>
                          </m:ctrlPr>
                        </m:dPr>
                        <m:e>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mu</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t+1</m:t>
                                  </m:r>
                                </m:e>
                              </m:d>
                              <m:r>
                                <w:rPr>
                                  <w:rFonts w:ascii="Cambria Math" w:eastAsia="Times New Roman" w:hAnsi="Cambria Math" w:cs="Times New Roman"/>
                                  <w:sz w:val="24"/>
                                  <w:szCs w:val="24"/>
                                  <w:lang w:val="en-US"/>
                                </w:rPr>
                                <m:t>- mu</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e>
                              </m:d>
                            </m:e>
                          </m:d>
                          <m:r>
                            <w:rPr>
                              <w:rFonts w:ascii="Cambria Math" w:eastAsia="Times New Roman" w:hAnsi="Cambria Math" w:cs="Times New Roman"/>
                              <w:sz w:val="24"/>
                              <w:szCs w:val="24"/>
                              <w:lang w:val="en-US"/>
                            </w:rPr>
                            <m:t>* m</m:t>
                          </m:r>
                        </m:e>
                      </m:d>
                      <m:r>
                        <w:rPr>
                          <w:rFonts w:ascii="Cambria Math" w:eastAsia="Times New Roman" w:hAnsi="Cambria Math" w:cs="Times New Roman"/>
                          <w:sz w:val="24"/>
                          <w:szCs w:val="24"/>
                          <w:lang w:val="en-US"/>
                        </w:rPr>
                        <m:t>+ mu</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e>
                      </m:d>
                    </m:e>
                  </m:d>
                </m:sup>
              </m:sSup>
              <m:r>
                <w:rPr>
                  <w:rFonts w:ascii="Cambria Math" w:eastAsia="Times New Roman" w:hAnsi="Cambria Math" w:cs="Times New Roman"/>
                  <w:sz w:val="24"/>
                  <w:szCs w:val="24"/>
                  <w:lang w:val="en-US"/>
                </w:rPr>
                <m:t xml:space="preserve"> #</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9</m:t>
                  </m:r>
                </m:e>
              </m:d>
            </m:e>
          </m:eqArr>
        </m:oMath>
      </m:oMathPara>
    </w:p>
    <w:p w14:paraId="2E459F23" w14:textId="0668D4A1" w:rsidR="00820C22" w:rsidRDefault="00820C22" w:rsidP="00EA4C1F">
      <w:pPr>
        <w:spacing w:before="240" w:after="24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Donde:</w:t>
      </w:r>
    </w:p>
    <w:p w14:paraId="0A82B034" w14:textId="2F3B3198" w:rsidR="00820C22" w:rsidRPr="00820C22" w:rsidRDefault="00820C22" w:rsidP="00820C22">
      <w:pPr>
        <w:pStyle w:val="ListParagraph"/>
        <w:numPr>
          <w:ilvl w:val="0"/>
          <w:numId w:val="9"/>
        </w:numPr>
        <w:spacing w:before="240" w:after="240" w:line="480" w:lineRule="auto"/>
        <w:jc w:val="both"/>
        <w:rPr>
          <w:rFonts w:ascii="Times New Roman" w:eastAsia="Times New Roman" w:hAnsi="Times New Roman" w:cs="Times New Roman"/>
          <w:sz w:val="24"/>
          <w:szCs w:val="24"/>
          <w:lang w:val="es-ES"/>
        </w:rPr>
      </w:pPr>
      <m:oMath>
        <m:r>
          <w:rPr>
            <w:rFonts w:ascii="Cambria Math" w:eastAsia="Times New Roman" w:hAnsi="Cambria Math" w:cs="Times New Roman"/>
            <w:sz w:val="24"/>
            <w:szCs w:val="24"/>
          </w:rPr>
          <m:t>mu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oMath>
      <w:r>
        <w:rPr>
          <w:rFonts w:ascii="Times New Roman" w:eastAsia="Times New Roman" w:hAnsi="Times New Roman" w:cs="Times New Roman"/>
          <w:sz w:val="24"/>
          <w:szCs w:val="24"/>
        </w:rPr>
        <w:t xml:space="preserve"> es la tasa instantánea de default para el momento “t”</w:t>
      </w:r>
    </w:p>
    <w:p w14:paraId="1445D866" w14:textId="67CE6B22" w:rsidR="00820C22" w:rsidRPr="00122F7F" w:rsidRDefault="00820C22" w:rsidP="00820C22">
      <w:pPr>
        <w:pStyle w:val="ListParagraph"/>
        <w:numPr>
          <w:ilvl w:val="0"/>
          <w:numId w:val="9"/>
        </w:numPr>
        <w:spacing w:before="240" w:after="240" w:line="480" w:lineRule="auto"/>
        <w:jc w:val="both"/>
        <w:rPr>
          <w:rFonts w:ascii="Times New Roman" w:eastAsia="Times New Roman" w:hAnsi="Times New Roman" w:cs="Times New Roman"/>
          <w:sz w:val="24"/>
          <w:szCs w:val="24"/>
          <w:lang w:val="es-ES"/>
        </w:rPr>
      </w:pPr>
      <m:oMath>
        <m:r>
          <w:rPr>
            <w:rFonts w:ascii="Cambria Math" w:eastAsia="Times New Roman" w:hAnsi="Cambria Math" w:cs="Times New Roman"/>
            <w:sz w:val="24"/>
            <w:szCs w:val="24"/>
          </w:rPr>
          <m:t>PD</m:t>
        </m:r>
        <m:sSub>
          <m:sSubPr>
            <m:ctrlPr>
              <w:rPr>
                <w:rFonts w:ascii="Cambria Math" w:eastAsia="Times New Roman" w:hAnsi="Cambria Math" w:cs="Times New Roman"/>
                <w:i/>
                <w:sz w:val="24"/>
                <w:szCs w:val="24"/>
              </w:rPr>
            </m:ctrlPr>
          </m:sSub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sub>
            <m:r>
              <w:rPr>
                <w:rFonts w:ascii="Cambria Math" w:eastAsia="Times New Roman" w:hAnsi="Cambria Math" w:cs="Times New Roman"/>
                <w:sz w:val="24"/>
                <w:szCs w:val="24"/>
              </w:rPr>
              <m:t>Acum</m:t>
            </m:r>
          </m:sub>
        </m:sSub>
      </m:oMath>
      <w:r>
        <w:rPr>
          <w:rFonts w:ascii="Times New Roman" w:eastAsia="Times New Roman" w:hAnsi="Times New Roman" w:cs="Times New Roman"/>
          <w:sz w:val="24"/>
          <w:szCs w:val="24"/>
        </w:rPr>
        <w:t xml:space="preserve"> es la probabilidad de default acumulada al momento “t”</w:t>
      </w:r>
    </w:p>
    <w:p w14:paraId="5F322C6D" w14:textId="42FBD709" w:rsidR="00122F7F" w:rsidRPr="00820C22" w:rsidRDefault="00122F7F" w:rsidP="00820C22">
      <w:pPr>
        <w:pStyle w:val="ListParagraph"/>
        <w:numPr>
          <w:ilvl w:val="0"/>
          <w:numId w:val="9"/>
        </w:numPr>
        <w:spacing w:before="240" w:after="240" w:line="480" w:lineRule="auto"/>
        <w:jc w:val="both"/>
        <w:rPr>
          <w:rFonts w:ascii="Times New Roman" w:eastAsia="Times New Roman" w:hAnsi="Times New Roman" w:cs="Times New Roman"/>
          <w:sz w:val="24"/>
          <w:szCs w:val="24"/>
          <w:lang w:val="es-ES"/>
        </w:rPr>
      </w:pPr>
      <m:oMath>
        <m:r>
          <w:rPr>
            <w:rFonts w:ascii="Cambria Math" w:eastAsia="Times New Roman" w:hAnsi="Cambria Math" w:cs="Times New Roman"/>
            <w:sz w:val="24"/>
            <w:szCs w:val="24"/>
            <w:lang w:val="en-US"/>
          </w:rPr>
          <m:t>PD</m:t>
        </m:r>
        <m:sSub>
          <m:sSubPr>
            <m:ctrlPr>
              <w:rPr>
                <w:rFonts w:ascii="Cambria Math" w:eastAsia="Times New Roman" w:hAnsi="Cambria Math" w:cs="Times New Roman"/>
                <w:i/>
                <w:sz w:val="24"/>
                <w:szCs w:val="24"/>
                <w:lang w:val="en-US"/>
              </w:rPr>
            </m:ctrlPr>
          </m:sSubPr>
          <m:e>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t</m:t>
                </m:r>
                <m:r>
                  <w:rPr>
                    <w:rFonts w:ascii="Cambria Math" w:eastAsia="Times New Roman" w:hAnsi="Cambria Math" w:cs="Times New Roman"/>
                    <w:sz w:val="24"/>
                    <w:szCs w:val="24"/>
                    <w:lang w:val="es-ES"/>
                  </w:rPr>
                  <m:t>+</m:t>
                </m:r>
                <m:r>
                  <w:rPr>
                    <w:rFonts w:ascii="Cambria Math" w:eastAsia="Times New Roman" w:hAnsi="Cambria Math" w:cs="Times New Roman"/>
                    <w:sz w:val="24"/>
                    <w:szCs w:val="24"/>
                    <w:lang w:val="en-US"/>
                  </w:rPr>
                  <m:t>m</m:t>
                </m:r>
              </m:e>
            </m:d>
          </m:e>
          <m:sub>
            <m:r>
              <w:rPr>
                <w:rFonts w:ascii="Cambria Math" w:eastAsia="Times New Roman" w:hAnsi="Cambria Math" w:cs="Times New Roman"/>
                <w:sz w:val="24"/>
                <w:szCs w:val="24"/>
                <w:lang w:val="en-US"/>
              </w:rPr>
              <m:t>Acum</m:t>
            </m:r>
          </m:sub>
        </m:sSub>
      </m:oMath>
      <w:r w:rsidRPr="00122F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 la probabilidad de default acumulada al momento “t”, sumado a una fracción de tiempo “m”</w:t>
      </w:r>
    </w:p>
    <w:p w14:paraId="49E87198" w14:textId="0901A4DF" w:rsidR="006B4BBC" w:rsidRPr="00EA4C1F" w:rsidRDefault="00000000" w:rsidP="00063EE6">
      <w:pPr>
        <w:spacing w:before="240"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Para valores mayores a 8 años, se asume que la serie se comporta como una distribución exponencial con tasa instantánea igual a la última tasa instantánea empírica</w:t>
      </w:r>
      <w:r w:rsidR="006B4BBC">
        <w:rPr>
          <w:rFonts w:ascii="Times New Roman" w:eastAsia="Times New Roman" w:hAnsi="Times New Roman" w:cs="Times New Roman"/>
          <w:sz w:val="24"/>
          <w:szCs w:val="24"/>
        </w:rPr>
        <w:t>, o</w:t>
      </w:r>
      <w:r w:rsidR="006B4BBC" w:rsidRPr="00EA4C1F">
        <w:rPr>
          <w:rFonts w:ascii="Times New Roman" w:eastAsia="Times New Roman" w:hAnsi="Times New Roman" w:cs="Times New Roman"/>
          <w:sz w:val="24"/>
          <w:szCs w:val="24"/>
        </w:rPr>
        <w:t>bteniendo así una curva de probabilidades de default monótonas para todo</w:t>
      </w:r>
      <w:r w:rsidR="006B4BBC">
        <w:rPr>
          <w:rFonts w:ascii="Times New Roman" w:eastAsia="Times New Roman" w:hAnsi="Times New Roman" w:cs="Times New Roman"/>
          <w:sz w:val="24"/>
          <w:szCs w:val="24"/>
        </w:rPr>
        <w:t>s</w:t>
      </w:r>
      <w:r w:rsidR="006B4BBC" w:rsidRPr="00EA4C1F">
        <w:rPr>
          <w:rFonts w:ascii="Times New Roman" w:eastAsia="Times New Roman" w:hAnsi="Times New Roman" w:cs="Times New Roman"/>
          <w:sz w:val="24"/>
          <w:szCs w:val="24"/>
        </w:rPr>
        <w:t xml:space="preserve"> los periodos.</w:t>
      </w:r>
    </w:p>
    <w:p w14:paraId="00000105" w14:textId="3B41DE3C" w:rsidR="00E6009A" w:rsidRPr="00EA4C1F" w:rsidRDefault="00000000" w:rsidP="00063EE6">
      <w:p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 </w:t>
      </w:r>
      <w:proofErr w:type="spellStart"/>
      <w:r w:rsidR="00063EE6">
        <w:rPr>
          <w:rFonts w:ascii="Times New Roman" w:eastAsia="Times New Roman" w:hAnsi="Times New Roman" w:cs="Times New Roman"/>
          <w:sz w:val="24"/>
          <w:szCs w:val="24"/>
        </w:rPr>
        <w:t>Analiticamente</w:t>
      </w:r>
      <w:proofErr w:type="spellEnd"/>
      <w:r w:rsidRPr="00EA4C1F">
        <w:rPr>
          <w:rFonts w:ascii="Times New Roman" w:eastAsia="Times New Roman" w:hAnsi="Times New Roman" w:cs="Times New Roman"/>
          <w:sz w:val="24"/>
          <w:szCs w:val="24"/>
        </w:rPr>
        <w:t>:</w:t>
      </w:r>
    </w:p>
    <w:p w14:paraId="00000106" w14:textId="27A6CAC2" w:rsidR="00E6009A" w:rsidRPr="00EA4C1F" w:rsidRDefault="00122F7F" w:rsidP="00EA4C1F">
      <w:pPr>
        <w:spacing w:before="240" w:after="240"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mu(8) = -ln(1-PD(8)_Acum)</m:t>
          </m:r>
        </m:oMath>
      </m:oMathPara>
    </w:p>
    <w:p w14:paraId="55B40B52" w14:textId="77232EC3" w:rsidR="006B4BBC" w:rsidRPr="006B4BBC" w:rsidRDefault="00000000" w:rsidP="00EA4C1F">
      <w:pPr>
        <w:spacing w:before="240" w:after="240"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PD</m:t>
              </m:r>
              <m:sSub>
                <m:sSubPr>
                  <m:ctrlPr>
                    <w:rPr>
                      <w:rFonts w:ascii="Cambria Math" w:eastAsia="Times New Roman" w:hAnsi="Cambria Math" w:cs="Times New Roman"/>
                      <w:i/>
                      <w:sz w:val="24"/>
                      <w:szCs w:val="24"/>
                    </w:rPr>
                  </m:ctrlPr>
                </m:sSub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8+n</m:t>
                      </m:r>
                    </m:e>
                  </m:d>
                </m:e>
                <m:sub>
                  <m:r>
                    <w:rPr>
                      <w:rFonts w:ascii="Cambria Math" w:eastAsia="Times New Roman" w:hAnsi="Cambria Math" w:cs="Times New Roman"/>
                      <w:sz w:val="24"/>
                      <w:szCs w:val="24"/>
                    </w:rPr>
                    <m:t>Acum</m:t>
                  </m:r>
                </m:sub>
              </m:sSub>
              <m:r>
                <w:rPr>
                  <w:rFonts w:ascii="Cambria Math" w:eastAsia="Times New Roman" w:hAnsi="Cambria Math" w:cs="Times New Roman"/>
                  <w:sz w:val="24"/>
                  <w:szCs w:val="24"/>
                </w:rPr>
                <m:t xml:space="preserve"> = PD</m:t>
              </m:r>
              <m:sSub>
                <m:sSubPr>
                  <m:ctrlPr>
                    <w:rPr>
                      <w:rFonts w:ascii="Cambria Math" w:eastAsia="Times New Roman" w:hAnsi="Cambria Math" w:cs="Times New Roman"/>
                      <w:i/>
                      <w:sz w:val="24"/>
                      <w:szCs w:val="24"/>
                    </w:rPr>
                  </m:ctrlPr>
                </m:sSub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m:t>
                      </m:r>
                    </m:e>
                  </m:d>
                </m:e>
                <m:sub>
                  <m:r>
                    <w:rPr>
                      <w:rFonts w:ascii="Cambria Math" w:eastAsia="Times New Roman" w:hAnsi="Cambria Math" w:cs="Times New Roman"/>
                      <w:sz w:val="24"/>
                      <w:szCs w:val="24"/>
                    </w:rPr>
                    <m:t>Acum</m:t>
                  </m:r>
                </m:sub>
              </m:sSub>
              <m:r>
                <w:rPr>
                  <w:rFonts w:ascii="Cambria Math" w:eastAsia="Times New Roman" w:hAnsi="Cambria Math" w:cs="Times New Roman"/>
                  <w:sz w:val="24"/>
                  <w:szCs w:val="24"/>
                </w:rPr>
                <m:t xml:space="preserve"> *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8</m:t>
                      </m:r>
                    </m:sub>
                  </m:sSub>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m:t>
                      </m:r>
                    </m:e>
                  </m:d>
                </m:sup>
              </m:sSup>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10</m:t>
                  </m:r>
                </m:e>
              </m:d>
            </m:e>
          </m:eqArr>
        </m:oMath>
      </m:oMathPara>
    </w:p>
    <w:p w14:paraId="079014B7" w14:textId="4632D374" w:rsidR="00122F7F" w:rsidRDefault="00122F7F" w:rsidP="00EA4C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53349A8E" w14:textId="7246AA99" w:rsidR="00122F7F" w:rsidRPr="00820C22" w:rsidRDefault="00122F7F" w:rsidP="00122F7F">
      <w:pPr>
        <w:pStyle w:val="ListParagraph"/>
        <w:numPr>
          <w:ilvl w:val="0"/>
          <w:numId w:val="9"/>
        </w:numPr>
        <w:spacing w:before="240" w:after="240" w:line="480" w:lineRule="auto"/>
        <w:jc w:val="both"/>
        <w:rPr>
          <w:rFonts w:ascii="Times New Roman" w:eastAsia="Times New Roman" w:hAnsi="Times New Roman" w:cs="Times New Roman"/>
          <w:sz w:val="24"/>
          <w:szCs w:val="24"/>
          <w:lang w:val="es-ES"/>
        </w:rPr>
      </w:pPr>
      <m:oMath>
        <m:r>
          <w:rPr>
            <w:rFonts w:ascii="Cambria Math" w:eastAsia="Times New Roman" w:hAnsi="Cambria Math" w:cs="Times New Roman"/>
            <w:sz w:val="24"/>
            <w:szCs w:val="24"/>
          </w:rPr>
          <w:lastRenderedPageBreak/>
          <m:t>mu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m:t>
            </m:r>
          </m:e>
        </m:d>
      </m:oMath>
      <w:r>
        <w:rPr>
          <w:rFonts w:ascii="Times New Roman" w:eastAsia="Times New Roman" w:hAnsi="Times New Roman" w:cs="Times New Roman"/>
          <w:sz w:val="24"/>
          <w:szCs w:val="24"/>
        </w:rPr>
        <w:t xml:space="preserve"> es la tasa instantánea de default para el momento “8”</w:t>
      </w:r>
    </w:p>
    <w:p w14:paraId="241A2BB4" w14:textId="4746BCD2" w:rsidR="00122F7F" w:rsidRPr="00122F7F" w:rsidRDefault="00122F7F" w:rsidP="00122F7F">
      <w:pPr>
        <w:pStyle w:val="ListParagraph"/>
        <w:numPr>
          <w:ilvl w:val="0"/>
          <w:numId w:val="9"/>
        </w:numPr>
        <w:spacing w:before="240" w:after="240" w:line="480" w:lineRule="auto"/>
        <w:jc w:val="both"/>
        <w:rPr>
          <w:rFonts w:ascii="Times New Roman" w:eastAsia="Times New Roman" w:hAnsi="Times New Roman" w:cs="Times New Roman"/>
          <w:sz w:val="24"/>
          <w:szCs w:val="24"/>
          <w:lang w:val="es-ES"/>
        </w:rPr>
      </w:pPr>
      <m:oMath>
        <m:r>
          <w:rPr>
            <w:rFonts w:ascii="Cambria Math" w:eastAsia="Times New Roman" w:hAnsi="Cambria Math" w:cs="Times New Roman"/>
            <w:sz w:val="24"/>
            <w:szCs w:val="24"/>
          </w:rPr>
          <m:t>PD</m:t>
        </m:r>
        <m:sSub>
          <m:sSubPr>
            <m:ctrlPr>
              <w:rPr>
                <w:rFonts w:ascii="Cambria Math" w:eastAsia="Times New Roman" w:hAnsi="Cambria Math" w:cs="Times New Roman"/>
                <w:i/>
                <w:sz w:val="24"/>
                <w:szCs w:val="24"/>
              </w:rPr>
            </m:ctrlPr>
          </m:sSub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m:t>
                </m:r>
              </m:e>
            </m:d>
          </m:e>
          <m:sub>
            <m:r>
              <w:rPr>
                <w:rFonts w:ascii="Cambria Math" w:eastAsia="Times New Roman" w:hAnsi="Cambria Math" w:cs="Times New Roman"/>
                <w:sz w:val="24"/>
                <w:szCs w:val="24"/>
              </w:rPr>
              <m:t>Acum</m:t>
            </m:r>
          </m:sub>
        </m:sSub>
      </m:oMath>
      <w:r>
        <w:rPr>
          <w:rFonts w:ascii="Times New Roman" w:eastAsia="Times New Roman" w:hAnsi="Times New Roman" w:cs="Times New Roman"/>
          <w:sz w:val="24"/>
          <w:szCs w:val="24"/>
        </w:rPr>
        <w:t xml:space="preserve"> es la probabilidad de default acumulada al momento “8”</w:t>
      </w:r>
    </w:p>
    <w:p w14:paraId="02484CBD" w14:textId="5A618740" w:rsidR="00122F7F" w:rsidRPr="00122F7F" w:rsidRDefault="00122F7F" w:rsidP="00EA4C1F">
      <w:pPr>
        <w:pStyle w:val="ListParagraph"/>
        <w:numPr>
          <w:ilvl w:val="0"/>
          <w:numId w:val="9"/>
        </w:numPr>
        <w:spacing w:before="240" w:after="240" w:line="480" w:lineRule="auto"/>
        <w:jc w:val="both"/>
        <w:rPr>
          <w:rFonts w:ascii="Times New Roman" w:eastAsia="Times New Roman" w:hAnsi="Times New Roman" w:cs="Times New Roman"/>
          <w:sz w:val="24"/>
          <w:szCs w:val="24"/>
          <w:lang w:val="es-ES"/>
        </w:rPr>
      </w:pPr>
      <m:oMath>
        <m:r>
          <w:rPr>
            <w:rFonts w:ascii="Cambria Math" w:eastAsia="Times New Roman" w:hAnsi="Cambria Math" w:cs="Times New Roman"/>
            <w:sz w:val="24"/>
            <w:szCs w:val="24"/>
            <w:lang w:val="en-US"/>
          </w:rPr>
          <m:t>PD</m:t>
        </m:r>
        <m:sSub>
          <m:sSubPr>
            <m:ctrlPr>
              <w:rPr>
                <w:rFonts w:ascii="Cambria Math" w:eastAsia="Times New Roman" w:hAnsi="Cambria Math" w:cs="Times New Roman"/>
                <w:i/>
                <w:sz w:val="24"/>
                <w:szCs w:val="24"/>
                <w:lang w:val="en-US"/>
              </w:rPr>
            </m:ctrlPr>
          </m:sSubPr>
          <m:e>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s-ES"/>
                  </w:rPr>
                  <m:t>8+</m:t>
                </m:r>
                <m:r>
                  <w:rPr>
                    <w:rFonts w:ascii="Cambria Math" w:eastAsia="Times New Roman" w:hAnsi="Cambria Math" w:cs="Times New Roman"/>
                    <w:sz w:val="24"/>
                    <w:szCs w:val="24"/>
                    <w:lang w:val="en-US"/>
                  </w:rPr>
                  <m:t>n</m:t>
                </m:r>
              </m:e>
            </m:d>
          </m:e>
          <m:sub>
            <m:r>
              <w:rPr>
                <w:rFonts w:ascii="Cambria Math" w:eastAsia="Times New Roman" w:hAnsi="Cambria Math" w:cs="Times New Roman"/>
                <w:sz w:val="24"/>
                <w:szCs w:val="24"/>
                <w:lang w:val="en-US"/>
              </w:rPr>
              <m:t>Acum</m:t>
            </m:r>
          </m:sub>
        </m:sSub>
      </m:oMath>
      <w:r w:rsidRPr="00122F7F">
        <w:rPr>
          <w:rFonts w:ascii="Times New Roman" w:eastAsia="Times New Roman" w:hAnsi="Times New Roman" w:cs="Times New Roman"/>
          <w:sz w:val="24"/>
          <w:szCs w:val="24"/>
        </w:rPr>
        <w:t xml:space="preserve"> es la probabilidad de default acumulada al momento “8”, </w:t>
      </w:r>
      <w:r>
        <w:rPr>
          <w:rFonts w:ascii="Times New Roman" w:eastAsia="Times New Roman" w:hAnsi="Times New Roman" w:cs="Times New Roman"/>
          <w:sz w:val="24"/>
          <w:szCs w:val="24"/>
        </w:rPr>
        <w:t>sumado al periodo “n”</w:t>
      </w:r>
    </w:p>
    <w:p w14:paraId="00000109" w14:textId="19F2A21C" w:rsidR="00E6009A" w:rsidRPr="00EA4C1F" w:rsidRDefault="00063EE6" w:rsidP="00EA4C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w:t>
      </w:r>
      <w:r w:rsidRPr="00EA4C1F">
        <w:rPr>
          <w:rFonts w:ascii="Times New Roman" w:eastAsia="Times New Roman" w:hAnsi="Times New Roman" w:cs="Times New Roman"/>
          <w:sz w:val="24"/>
          <w:szCs w:val="24"/>
        </w:rPr>
        <w:t xml:space="preserve"> nivelar los flujos del bono, estos decrecen y la T</w:t>
      </w:r>
      <w:r>
        <w:rPr>
          <w:rFonts w:ascii="Times New Roman" w:eastAsia="Times New Roman" w:hAnsi="Times New Roman" w:cs="Times New Roman"/>
          <w:sz w:val="24"/>
          <w:szCs w:val="24"/>
        </w:rPr>
        <w:t>I</w:t>
      </w:r>
      <w:r w:rsidRPr="00EA4C1F">
        <w:rPr>
          <w:rFonts w:ascii="Times New Roman" w:eastAsia="Times New Roman" w:hAnsi="Times New Roman" w:cs="Times New Roman"/>
          <w:sz w:val="24"/>
          <w:szCs w:val="24"/>
        </w:rPr>
        <w:t>R se nivela con el valor de mercado</w:t>
      </w:r>
      <w:r>
        <w:rPr>
          <w:rFonts w:ascii="Times New Roman" w:eastAsia="Times New Roman" w:hAnsi="Times New Roman" w:cs="Times New Roman"/>
          <w:sz w:val="24"/>
          <w:szCs w:val="24"/>
        </w:rPr>
        <w:t>, el cual ya</w:t>
      </w:r>
      <w:r w:rsidRPr="00EA4C1F">
        <w:rPr>
          <w:rFonts w:ascii="Times New Roman" w:eastAsia="Times New Roman" w:hAnsi="Times New Roman" w:cs="Times New Roman"/>
          <w:sz w:val="24"/>
          <w:szCs w:val="24"/>
        </w:rPr>
        <w:t xml:space="preserve"> tiene el riesgo incorporado. La diferencia entre esta nueva T</w:t>
      </w:r>
      <w:r>
        <w:rPr>
          <w:rFonts w:ascii="Times New Roman" w:eastAsia="Times New Roman" w:hAnsi="Times New Roman" w:cs="Times New Roman"/>
          <w:sz w:val="24"/>
          <w:szCs w:val="24"/>
        </w:rPr>
        <w:t>I</w:t>
      </w:r>
      <w:r w:rsidRPr="00EA4C1F">
        <w:rPr>
          <w:rFonts w:ascii="Times New Roman" w:eastAsia="Times New Roman" w:hAnsi="Times New Roman" w:cs="Times New Roman"/>
          <w:sz w:val="24"/>
          <w:szCs w:val="24"/>
        </w:rPr>
        <w:t>R y la T</w:t>
      </w:r>
      <w:r>
        <w:rPr>
          <w:rFonts w:ascii="Times New Roman" w:eastAsia="Times New Roman" w:hAnsi="Times New Roman" w:cs="Times New Roman"/>
          <w:sz w:val="24"/>
          <w:szCs w:val="24"/>
        </w:rPr>
        <w:t>I</w:t>
      </w:r>
      <w:r w:rsidRPr="00EA4C1F">
        <w:rPr>
          <w:rFonts w:ascii="Times New Roman" w:eastAsia="Times New Roman" w:hAnsi="Times New Roman" w:cs="Times New Roman"/>
          <w:sz w:val="24"/>
          <w:szCs w:val="24"/>
        </w:rPr>
        <w:t xml:space="preserve">R del bono </w:t>
      </w:r>
      <w:r>
        <w:rPr>
          <w:rFonts w:ascii="Times New Roman" w:eastAsia="Times New Roman" w:hAnsi="Times New Roman" w:cs="Times New Roman"/>
          <w:sz w:val="24"/>
          <w:szCs w:val="24"/>
        </w:rPr>
        <w:t>constituye un proxy para la</w:t>
      </w:r>
      <w:r w:rsidRPr="00EA4C1F">
        <w:rPr>
          <w:rFonts w:ascii="Times New Roman" w:eastAsia="Times New Roman" w:hAnsi="Times New Roman" w:cs="Times New Roman"/>
          <w:sz w:val="24"/>
          <w:szCs w:val="24"/>
        </w:rPr>
        <w:t xml:space="preserve"> prima por riesgo de crédito que se debe sustraer de nuestra curva para que sea una curva libre de riesgo. Sin embargo,</w:t>
      </w:r>
      <w:r w:rsidR="003E547B">
        <w:rPr>
          <w:rFonts w:ascii="Times New Roman" w:eastAsia="Times New Roman" w:hAnsi="Times New Roman" w:cs="Times New Roman"/>
          <w:sz w:val="24"/>
          <w:szCs w:val="24"/>
        </w:rPr>
        <w:t xml:space="preserve"> para poder descontar cada pago </w:t>
      </w:r>
      <w:r w:rsidR="006F6A3E">
        <w:rPr>
          <w:rFonts w:ascii="Times New Roman" w:eastAsia="Times New Roman" w:hAnsi="Times New Roman" w:cs="Times New Roman"/>
          <w:sz w:val="24"/>
          <w:szCs w:val="24"/>
        </w:rPr>
        <w:t xml:space="preserve">individual </w:t>
      </w:r>
      <w:r w:rsidR="003E547B">
        <w:rPr>
          <w:rFonts w:ascii="Times New Roman" w:eastAsia="Times New Roman" w:hAnsi="Times New Roman" w:cs="Times New Roman"/>
          <w:sz w:val="24"/>
          <w:szCs w:val="24"/>
        </w:rPr>
        <w:t xml:space="preserve">a un momento del tiempo, se requiere una tasa de rendimiento al vencimiento (YTM) </w:t>
      </w:r>
      <w:r w:rsidR="006F6A3E">
        <w:rPr>
          <w:rFonts w:ascii="Times New Roman" w:eastAsia="Times New Roman" w:hAnsi="Times New Roman" w:cs="Times New Roman"/>
          <w:sz w:val="24"/>
          <w:szCs w:val="24"/>
        </w:rPr>
        <w:t xml:space="preserve">en vez de una TIR, ya que esta sería como una “tasa promedio” para un intervalo de tiempo. Adicionalmente, </w:t>
      </w:r>
      <w:r w:rsidRPr="00EA4C1F">
        <w:rPr>
          <w:rFonts w:ascii="Times New Roman" w:eastAsia="Times New Roman" w:hAnsi="Times New Roman" w:cs="Times New Roman"/>
          <w:sz w:val="24"/>
          <w:szCs w:val="24"/>
        </w:rPr>
        <w:t>se de</w:t>
      </w:r>
      <w:r w:rsidR="006F6A3E">
        <w:rPr>
          <w:rFonts w:ascii="Times New Roman" w:eastAsia="Times New Roman" w:hAnsi="Times New Roman" w:cs="Times New Roman"/>
          <w:sz w:val="24"/>
          <w:szCs w:val="24"/>
        </w:rPr>
        <w:t>be interpolar</w:t>
      </w:r>
      <w:r w:rsidRPr="00EA4C1F">
        <w:rPr>
          <w:rFonts w:ascii="Times New Roman" w:eastAsia="Times New Roman" w:hAnsi="Times New Roman" w:cs="Times New Roman"/>
          <w:sz w:val="24"/>
          <w:szCs w:val="24"/>
        </w:rPr>
        <w:t xml:space="preserve"> para cubrir todos los periodos de pagos. </w:t>
      </w:r>
      <w:r w:rsidR="00B774A2">
        <w:rPr>
          <w:rFonts w:ascii="Times New Roman" w:eastAsia="Times New Roman" w:hAnsi="Times New Roman" w:cs="Times New Roman"/>
          <w:sz w:val="24"/>
          <w:szCs w:val="24"/>
        </w:rPr>
        <w:t>Con el fin de cumplir con estos dos puntos</w:t>
      </w:r>
      <w:r w:rsidRPr="00EA4C1F">
        <w:rPr>
          <w:rFonts w:ascii="Times New Roman" w:eastAsia="Times New Roman" w:hAnsi="Times New Roman" w:cs="Times New Roman"/>
          <w:sz w:val="24"/>
          <w:szCs w:val="24"/>
        </w:rPr>
        <w:t xml:space="preserve"> se</w:t>
      </w:r>
      <w:r w:rsidR="006F6A3E">
        <w:rPr>
          <w:rFonts w:ascii="Times New Roman" w:eastAsia="Times New Roman" w:hAnsi="Times New Roman" w:cs="Times New Roman"/>
          <w:sz w:val="24"/>
          <w:szCs w:val="24"/>
        </w:rPr>
        <w:t xml:space="preserve"> utilizó el</w:t>
      </w:r>
      <w:r w:rsidRPr="00EA4C1F">
        <w:rPr>
          <w:rFonts w:ascii="Times New Roman" w:eastAsia="Times New Roman" w:hAnsi="Times New Roman" w:cs="Times New Roman"/>
          <w:sz w:val="24"/>
          <w:szCs w:val="24"/>
        </w:rPr>
        <w:t xml:space="preserve"> m</w:t>
      </w:r>
      <w:r w:rsidR="00B774A2">
        <w:rPr>
          <w:rFonts w:ascii="Times New Roman" w:eastAsia="Times New Roman" w:hAnsi="Times New Roman" w:cs="Times New Roman"/>
          <w:sz w:val="24"/>
          <w:szCs w:val="24"/>
        </w:rPr>
        <w:t>odelo</w:t>
      </w:r>
      <w:r w:rsidRPr="00EA4C1F">
        <w:rPr>
          <w:rFonts w:ascii="Times New Roman" w:eastAsia="Times New Roman" w:hAnsi="Times New Roman" w:cs="Times New Roman"/>
          <w:sz w:val="24"/>
          <w:szCs w:val="24"/>
        </w:rPr>
        <w:t xml:space="preserve"> Nelson-Siegel</w:t>
      </w:r>
      <w:sdt>
        <w:sdtPr>
          <w:rPr>
            <w:rFonts w:ascii="Times New Roman" w:eastAsia="Times New Roman" w:hAnsi="Times New Roman" w:cs="Times New Roman"/>
            <w:sz w:val="24"/>
            <w:szCs w:val="24"/>
          </w:rPr>
          <w:id w:val="-1796588025"/>
          <w:citation/>
        </w:sdtPr>
        <w:sdtContent>
          <w:r>
            <w:rPr>
              <w:rFonts w:ascii="Times New Roman" w:eastAsia="Times New Roman" w:hAnsi="Times New Roman" w:cs="Times New Roman"/>
              <w:sz w:val="24"/>
              <w:szCs w:val="24"/>
            </w:rPr>
            <w:fldChar w:fldCharType="begin"/>
          </w:r>
          <w:r w:rsidRPr="00063EE6">
            <w:rPr>
              <w:rFonts w:ascii="Times New Roman" w:eastAsia="Times New Roman" w:hAnsi="Times New Roman" w:cs="Times New Roman"/>
              <w:sz w:val="24"/>
              <w:szCs w:val="24"/>
            </w:rPr>
            <w:instrText xml:space="preserve"> CITATION Cha87 \l 1033 </w:instrText>
          </w:r>
          <w:r>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(Nelson &amp; Siegel, 1987)</w:t>
          </w:r>
          <w:r>
            <w:rPr>
              <w:rFonts w:ascii="Times New Roman" w:eastAsia="Times New Roman" w:hAnsi="Times New Roman" w:cs="Times New Roman"/>
              <w:sz w:val="24"/>
              <w:szCs w:val="24"/>
            </w:rPr>
            <w:fldChar w:fldCharType="end"/>
          </w:r>
        </w:sdtContent>
      </w:sdt>
      <w:r w:rsidR="00B774A2">
        <w:rPr>
          <w:rFonts w:ascii="Times New Roman" w:eastAsia="Times New Roman" w:hAnsi="Times New Roman" w:cs="Times New Roman"/>
          <w:sz w:val="24"/>
          <w:szCs w:val="24"/>
        </w:rPr>
        <w:t xml:space="preserve"> para obtener una curva YTM en cada momento del tiempo. Esto se hace</w:t>
      </w:r>
      <w:r w:rsidRPr="00EA4C1F">
        <w:rPr>
          <w:rFonts w:ascii="Times New Roman" w:eastAsia="Times New Roman" w:hAnsi="Times New Roman" w:cs="Times New Roman"/>
          <w:sz w:val="24"/>
          <w:szCs w:val="24"/>
        </w:rPr>
        <w:t xml:space="preserve"> ajusta</w:t>
      </w:r>
      <w:r w:rsidR="00B774A2">
        <w:rPr>
          <w:rFonts w:ascii="Times New Roman" w:eastAsia="Times New Roman" w:hAnsi="Times New Roman" w:cs="Times New Roman"/>
          <w:sz w:val="24"/>
          <w:szCs w:val="24"/>
        </w:rPr>
        <w:t>ndo</w:t>
      </w:r>
      <w:r w:rsidRPr="00EA4C1F">
        <w:rPr>
          <w:rFonts w:ascii="Times New Roman" w:eastAsia="Times New Roman" w:hAnsi="Times New Roman" w:cs="Times New Roman"/>
          <w:sz w:val="24"/>
          <w:szCs w:val="24"/>
        </w:rPr>
        <w:t xml:space="preserve"> los valores de mercado y los </w:t>
      </w:r>
      <w:r w:rsidR="00B774A2" w:rsidRPr="00EA4C1F">
        <w:rPr>
          <w:rFonts w:ascii="Times New Roman" w:eastAsia="Times New Roman" w:hAnsi="Times New Roman" w:cs="Times New Roman"/>
          <w:sz w:val="24"/>
          <w:szCs w:val="24"/>
        </w:rPr>
        <w:t>cash-flow</w:t>
      </w:r>
      <w:r>
        <w:rPr>
          <w:rFonts w:ascii="Times New Roman" w:eastAsia="Times New Roman" w:hAnsi="Times New Roman" w:cs="Times New Roman"/>
          <w:sz w:val="24"/>
          <w:szCs w:val="24"/>
        </w:rPr>
        <w:t xml:space="preserve"> (en este caso, los esperados)</w:t>
      </w:r>
      <w:r w:rsidRPr="00EA4C1F">
        <w:rPr>
          <w:rFonts w:ascii="Times New Roman" w:eastAsia="Times New Roman" w:hAnsi="Times New Roman" w:cs="Times New Roman"/>
          <w:sz w:val="24"/>
          <w:szCs w:val="24"/>
        </w:rPr>
        <w:t>, a una curva paramétrica de tasas de interés mediante la regresión lineal</w:t>
      </w:r>
      <w:r w:rsidR="00B774A2">
        <w:rPr>
          <w:rFonts w:ascii="Times New Roman" w:eastAsia="Times New Roman" w:hAnsi="Times New Roman" w:cs="Times New Roman"/>
          <w:sz w:val="24"/>
          <w:szCs w:val="24"/>
        </w:rPr>
        <w:t>, minimizando el error de precios</w:t>
      </w:r>
      <w:r w:rsidRPr="00EA4C1F">
        <w:rPr>
          <w:rFonts w:ascii="Times New Roman" w:eastAsia="Times New Roman" w:hAnsi="Times New Roman" w:cs="Times New Roman"/>
          <w:sz w:val="24"/>
          <w:szCs w:val="24"/>
        </w:rPr>
        <w:t xml:space="preserve">: </w:t>
      </w:r>
    </w:p>
    <w:p w14:paraId="0000010A" w14:textId="08F48D6B" w:rsidR="00E6009A" w:rsidRPr="003E547B" w:rsidRDefault="00000000" w:rsidP="00EA4C1F">
      <w:pPr>
        <w:spacing w:before="240" w:after="240" w:line="480" w:lineRule="auto"/>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YTM</m:t>
              </m:r>
            </m:e>
            <m:sub>
              <m:r>
                <m:rPr>
                  <m:sty m:val="p"/>
                </m:rPr>
                <w:rPr>
                  <w:rFonts w:ascii="Cambria Math" w:eastAsia="Times New Roman" w:hAnsi="Cambria Math" w:cs="Times New Roman"/>
                  <w:sz w:val="24"/>
                  <w:szCs w:val="24"/>
                </w:rPr>
                <m:t>m</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m</m:t>
                          </m:r>
                        </m:sub>
                      </m:sSub>
                    </m:sup>
                  </m:sSup>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m</m:t>
                      </m:r>
                    </m:sub>
                  </m:sSub>
                </m:den>
              </m:f>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m</m:t>
                          </m:r>
                        </m:sub>
                      </m:sSub>
                    </m:sup>
                  </m:sSup>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m</m:t>
                      </m:r>
                    </m:sub>
                  </m:sSub>
                </m:den>
              </m:f>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m</m:t>
                      </m:r>
                    </m:sub>
                  </m:sSub>
                </m:sup>
              </m:sSup>
            </m:e>
          </m:d>
        </m:oMath>
      </m:oMathPara>
    </w:p>
    <w:p w14:paraId="7D61200B" w14:textId="210DDD08" w:rsidR="009F2A6A" w:rsidRPr="00EA4C1F" w:rsidRDefault="00000000" w:rsidP="00EA4C1F">
      <w:pPr>
        <w:spacing w:before="240" w:after="240"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 xml:space="preserve">MV=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m=1</m:t>
                  </m:r>
                </m:sub>
                <m:sup>
                  <m:r>
                    <w:rPr>
                      <w:rFonts w:ascii="Cambria Math" w:eastAsia="Times New Roman" w:hAnsi="Cambria Math" w:cs="Times New Roman"/>
                      <w:sz w:val="24"/>
                      <w:szCs w:val="24"/>
                    </w:rPr>
                    <m:t>n</m:t>
                  </m:r>
                </m:sup>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E</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m</m:t>
                              </m:r>
                            </m:sub>
                          </m:sSub>
                        </m:e>
                      </m:d>
                    </m:num>
                    <m:den>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1+YT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m</m:t>
                                  </m:r>
                                </m:sub>
                              </m:sSub>
                            </m:e>
                          </m:d>
                        </m:e>
                        <m:sup>
                          <m:r>
                            <w:rPr>
                              <w:rFonts w:ascii="Cambria Math" w:eastAsia="Times New Roman" w:hAnsi="Cambria Math" w:cs="Times New Roman"/>
                              <w:sz w:val="24"/>
                              <w:szCs w:val="24"/>
                            </w:rPr>
                            <m:t>m</m:t>
                          </m:r>
                        </m:sup>
                      </m:sSup>
                    </m:den>
                  </m:f>
                </m:e>
              </m:nary>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11</m:t>
                  </m:r>
                </m:e>
              </m:d>
            </m:e>
          </m:eqArr>
        </m:oMath>
      </m:oMathPara>
    </w:p>
    <w:p w14:paraId="0000010B"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Donde: </w:t>
      </w:r>
    </w:p>
    <w:p w14:paraId="5A6A171A" w14:textId="507600FE" w:rsidR="009F2A6A" w:rsidRDefault="00000000" w:rsidP="00B774A2">
      <w:pPr>
        <w:numPr>
          <w:ilvl w:val="0"/>
          <w:numId w:val="1"/>
        </w:numPr>
        <w:spacing w:before="100" w:beforeAutospacing="1" w:after="0"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y λ </m:t>
        </m:r>
      </m:oMath>
      <w:r w:rsidR="009F2A6A">
        <w:rPr>
          <w:rFonts w:ascii="Times New Roman" w:eastAsia="Times New Roman" w:hAnsi="Times New Roman" w:cs="Times New Roman"/>
          <w:sz w:val="24"/>
          <w:szCs w:val="24"/>
        </w:rPr>
        <w:t xml:space="preserve"> </w:t>
      </w:r>
      <w:r w:rsidR="009F2A6A" w:rsidRPr="00EA4C1F">
        <w:rPr>
          <w:rFonts w:ascii="Times New Roman" w:eastAsia="Times New Roman" w:hAnsi="Times New Roman" w:cs="Times New Roman"/>
          <w:sz w:val="24"/>
          <w:szCs w:val="24"/>
        </w:rPr>
        <w:t xml:space="preserve"> </w:t>
      </w:r>
      <w:r w:rsidR="009F2A6A">
        <w:rPr>
          <w:rFonts w:ascii="Times New Roman" w:eastAsia="Times New Roman" w:hAnsi="Times New Roman" w:cs="Times New Roman"/>
          <w:sz w:val="24"/>
          <w:szCs w:val="24"/>
        </w:rPr>
        <w:t>son parámetros que estimar.</w:t>
      </w:r>
    </w:p>
    <w:p w14:paraId="598CF9B2" w14:textId="19C9AFF1" w:rsidR="003E547B" w:rsidRDefault="00000000" w:rsidP="00B774A2">
      <w:pPr>
        <w:numPr>
          <w:ilvl w:val="0"/>
          <w:numId w:val="1"/>
        </w:numPr>
        <w:spacing w:before="100" w:beforeAutospacing="1" w:after="0"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YTM</m:t>
            </m:r>
          </m:e>
          <m:sub>
            <m:r>
              <m:rPr>
                <m:sty m:val="p"/>
              </m:rPr>
              <w:rPr>
                <w:rFonts w:ascii="Cambria Math" w:eastAsia="Times New Roman" w:hAnsi="Cambria Math" w:cs="Times New Roman"/>
                <w:sz w:val="24"/>
                <w:szCs w:val="24"/>
              </w:rPr>
              <m:t>m</m:t>
            </m:r>
          </m:sub>
        </m:sSub>
      </m:oMath>
      <w:r w:rsidR="003E547B">
        <w:rPr>
          <w:rFonts w:ascii="Times New Roman" w:eastAsia="Times New Roman" w:hAnsi="Times New Roman" w:cs="Times New Roman"/>
          <w:sz w:val="24"/>
          <w:szCs w:val="24"/>
        </w:rPr>
        <w:t xml:space="preserve"> es la tasa de rendimiento al vencido</w:t>
      </w:r>
      <w:r w:rsidR="00B774A2">
        <w:rPr>
          <w:rFonts w:ascii="Times New Roman" w:eastAsia="Times New Roman" w:hAnsi="Times New Roman" w:cs="Times New Roman"/>
          <w:sz w:val="24"/>
          <w:szCs w:val="24"/>
        </w:rPr>
        <w:t xml:space="preserve"> libre de riesgo</w:t>
      </w:r>
      <w:r w:rsidR="003E547B">
        <w:rPr>
          <w:rFonts w:ascii="Times New Roman" w:eastAsia="Times New Roman" w:hAnsi="Times New Roman" w:cs="Times New Roman"/>
          <w:sz w:val="24"/>
          <w:szCs w:val="24"/>
        </w:rPr>
        <w:t xml:space="preserve"> </w:t>
      </w:r>
      <w:r w:rsidR="00B774A2">
        <w:rPr>
          <w:rFonts w:ascii="Times New Roman" w:eastAsia="Times New Roman" w:hAnsi="Times New Roman" w:cs="Times New Roman"/>
          <w:sz w:val="24"/>
          <w:szCs w:val="24"/>
        </w:rPr>
        <w:t>para el momento “m”</w:t>
      </w:r>
    </w:p>
    <w:p w14:paraId="337D062E" w14:textId="1256B990" w:rsidR="00B774A2" w:rsidRDefault="00B774A2" w:rsidP="00B774A2">
      <w:pPr>
        <w:numPr>
          <w:ilvl w:val="0"/>
          <w:numId w:val="1"/>
        </w:numPr>
        <w:spacing w:before="100" w:beforeAutospacing="1" w:after="0"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w:lastRenderedPageBreak/>
          <m:t>MV</m:t>
        </m:r>
      </m:oMath>
      <w:r>
        <w:rPr>
          <w:rFonts w:ascii="Times New Roman" w:eastAsia="Times New Roman" w:hAnsi="Times New Roman" w:cs="Times New Roman"/>
          <w:sz w:val="24"/>
          <w:szCs w:val="24"/>
        </w:rPr>
        <w:t xml:space="preserve"> es el valor de mercado del instrumento</w:t>
      </w:r>
    </w:p>
    <w:p w14:paraId="7FD82E6F" w14:textId="378A6393" w:rsidR="00B774A2" w:rsidRPr="003E547B" w:rsidRDefault="00CA74F7" w:rsidP="00B774A2">
      <w:pPr>
        <w:numPr>
          <w:ilvl w:val="0"/>
          <w:numId w:val="1"/>
        </w:numPr>
        <w:spacing w:before="100" w:beforeAutospacing="1" w:after="0"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E(C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m:oMath>
      <w:r w:rsidR="00B774A2">
        <w:rPr>
          <w:rFonts w:ascii="Times New Roman" w:eastAsia="Times New Roman" w:hAnsi="Times New Roman" w:cs="Times New Roman"/>
          <w:sz w:val="24"/>
          <w:szCs w:val="24"/>
        </w:rPr>
        <w:t xml:space="preserve"> son los cash</w:t>
      </w:r>
      <w:r w:rsidR="00063EE6">
        <w:rPr>
          <w:rFonts w:ascii="Times New Roman" w:eastAsia="Times New Roman" w:hAnsi="Times New Roman" w:cs="Times New Roman"/>
          <w:sz w:val="24"/>
          <w:szCs w:val="24"/>
        </w:rPr>
        <w:t xml:space="preserve"> </w:t>
      </w:r>
      <w:proofErr w:type="spellStart"/>
      <w:r w:rsidR="00B774A2">
        <w:rPr>
          <w:rFonts w:ascii="Times New Roman" w:eastAsia="Times New Roman" w:hAnsi="Times New Roman" w:cs="Times New Roman"/>
          <w:sz w:val="24"/>
          <w:szCs w:val="24"/>
        </w:rPr>
        <w:t>flows</w:t>
      </w:r>
      <w:proofErr w:type="spellEnd"/>
      <w:r>
        <w:rPr>
          <w:rFonts w:ascii="Times New Roman" w:eastAsia="Times New Roman" w:hAnsi="Times New Roman" w:cs="Times New Roman"/>
          <w:sz w:val="24"/>
          <w:szCs w:val="24"/>
        </w:rPr>
        <w:t xml:space="preserve"> esperados</w:t>
      </w:r>
      <w:r w:rsidR="00B774A2">
        <w:rPr>
          <w:rFonts w:ascii="Times New Roman" w:eastAsia="Times New Roman" w:hAnsi="Times New Roman" w:cs="Times New Roman"/>
          <w:sz w:val="24"/>
          <w:szCs w:val="24"/>
        </w:rPr>
        <w:t xml:space="preserve"> en el momento “m”</w:t>
      </w:r>
    </w:p>
    <w:p w14:paraId="0000010E"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Finalmente, una vez obtenida la curva para todos los periodos, se aplicará como factor de descuento al patrón de pagos de la siguiente forma, teniendo así, un flujo descontado de pagos:</w:t>
      </w:r>
    </w:p>
    <w:p w14:paraId="2A3366BD" w14:textId="10F91749" w:rsidR="00063EE6" w:rsidRPr="00063EE6" w:rsidRDefault="00000000" w:rsidP="00EA4C1F">
      <w:pPr>
        <w:jc w:val="both"/>
        <w:rPr>
          <w:rFonts w:ascii="Times New Roman" w:eastAsia="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 xml:space="preserve">Flujo del seguro descontado= </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Pag</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1+YT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m:t>
                                  </m:r>
                                </m:sub>
                              </m:sSub>
                            </m:e>
                          </m:d>
                        </m:e>
                        <m:sup>
                          <m:r>
                            <w:rPr>
                              <w:rFonts w:ascii="Cambria Math" w:hAnsi="Cambria Math" w:cs="Times New Roman"/>
                            </w:rPr>
                            <m:t>t</m:t>
                          </m:r>
                        </m:sup>
                      </m:sSup>
                    </m:den>
                  </m:f>
                </m:e>
              </m:nary>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12</m:t>
                  </m:r>
                </m:e>
              </m:d>
            </m:e>
          </m:eqArr>
        </m:oMath>
      </m:oMathPara>
    </w:p>
    <w:p w14:paraId="30C5F65F" w14:textId="76EF1144" w:rsidR="00B774A2" w:rsidRDefault="00B774A2" w:rsidP="00EA4C1F">
      <w:pPr>
        <w:jc w:val="both"/>
        <w:rPr>
          <w:rFonts w:ascii="Times New Roman" w:hAnsi="Times New Roman" w:cs="Times New Roman"/>
        </w:rPr>
      </w:pPr>
      <w:r>
        <w:rPr>
          <w:rFonts w:ascii="Times New Roman" w:hAnsi="Times New Roman" w:cs="Times New Roman"/>
        </w:rPr>
        <w:t>Donde:</w:t>
      </w:r>
    </w:p>
    <w:p w14:paraId="7170DC4F" w14:textId="2267617B" w:rsidR="00B774A2" w:rsidRDefault="00B774A2" w:rsidP="00B774A2">
      <w:pPr>
        <w:pStyle w:val="ListParagraph"/>
        <w:numPr>
          <w:ilvl w:val="0"/>
          <w:numId w:val="1"/>
        </w:numPr>
        <w:jc w:val="both"/>
        <w:rPr>
          <w:rFonts w:ascii="Times New Roman" w:hAnsi="Times New Roman" w:cs="Times New Roman"/>
        </w:rPr>
      </w:pPr>
      <m:oMath>
        <m:r>
          <w:rPr>
            <w:rFonts w:ascii="Cambria Math" w:hAnsi="Cambria Math" w:cs="Times New Roman"/>
          </w:rPr>
          <m:t>Pag</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t</m:t>
            </m:r>
          </m:sub>
        </m:sSub>
      </m:oMath>
      <w:r>
        <w:rPr>
          <w:rFonts w:ascii="Times New Roman" w:hAnsi="Times New Roman" w:cs="Times New Roman"/>
        </w:rPr>
        <w:t xml:space="preserve">  es la estimación del pago del pasivo correspondiente al seguro en el momento “t”</w:t>
      </w:r>
    </w:p>
    <w:p w14:paraId="62B44495" w14:textId="25B52FDB" w:rsidR="00B774A2" w:rsidRPr="00C2192E" w:rsidRDefault="00B774A2" w:rsidP="00C2192E">
      <w:pPr>
        <w:numPr>
          <w:ilvl w:val="0"/>
          <w:numId w:val="1"/>
        </w:numPr>
        <w:spacing w:before="100" w:beforeAutospacing="1" w:after="0" w:line="480" w:lineRule="auto"/>
        <w:jc w:val="both"/>
        <w:rPr>
          <w:rFonts w:ascii="Times New Roman" w:eastAsia="Times New Roman" w:hAnsi="Times New Roman" w:cs="Times New Roman"/>
          <w:sz w:val="24"/>
          <w:szCs w:val="24"/>
        </w:rPr>
      </w:pPr>
      <m:oMath>
        <m:r>
          <w:rPr>
            <w:rFonts w:ascii="Cambria Math" w:hAnsi="Cambria Math" w:cs="Times New Roman"/>
          </w:rPr>
          <m:t>YT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m:t>
            </m:r>
          </m:sub>
        </m:sSub>
      </m:oMath>
      <w:r>
        <w:rPr>
          <w:rFonts w:ascii="Times New Roman" w:hAnsi="Times New Roman" w:cs="Times New Roman"/>
        </w:rPr>
        <w:t xml:space="preserve"> </w:t>
      </w:r>
      <w:r>
        <w:rPr>
          <w:rFonts w:ascii="Times New Roman" w:eastAsia="Times New Roman" w:hAnsi="Times New Roman" w:cs="Times New Roman"/>
          <w:sz w:val="24"/>
          <w:szCs w:val="24"/>
        </w:rPr>
        <w:t>es la tasa de rendimiento al vencido libre de riesgo para el momento “</w:t>
      </w:r>
      <w:r w:rsidR="00C2192E">
        <w:rPr>
          <w:rFonts w:ascii="Times New Roman" w:eastAsia="Times New Roman" w:hAnsi="Times New Roman" w:cs="Times New Roman"/>
          <w:sz w:val="24"/>
          <w:szCs w:val="24"/>
        </w:rPr>
        <w:t>t</w:t>
      </w:r>
      <w:r>
        <w:rPr>
          <w:rFonts w:ascii="Times New Roman" w:eastAsia="Times New Roman" w:hAnsi="Times New Roman" w:cs="Times New Roman"/>
          <w:sz w:val="24"/>
          <w:szCs w:val="24"/>
        </w:rPr>
        <w:t>”</w:t>
      </w:r>
    </w:p>
    <w:p w14:paraId="00000111" w14:textId="5F336EA2" w:rsidR="00E6009A" w:rsidRPr="00EA4C1F" w:rsidRDefault="00000000" w:rsidP="00EA4C1F">
      <w:pPr>
        <w:pStyle w:val="Heading3"/>
        <w:numPr>
          <w:ilvl w:val="2"/>
          <w:numId w:val="3"/>
        </w:numPr>
        <w:ind w:hanging="360"/>
        <w:jc w:val="both"/>
        <w:rPr>
          <w:rFonts w:ascii="Times New Roman" w:hAnsi="Times New Roman" w:cs="Times New Roman"/>
        </w:rPr>
      </w:pPr>
      <w:bookmarkStart w:id="29" w:name="_Toc221446750"/>
      <w:r w:rsidRPr="00EA4C1F">
        <w:rPr>
          <w:rFonts w:ascii="Times New Roman" w:hAnsi="Times New Roman" w:cs="Times New Roman"/>
        </w:rPr>
        <w:t>Ajuste de riesgo No Financiero</w:t>
      </w:r>
      <w:bookmarkEnd w:id="29"/>
    </w:p>
    <w:p w14:paraId="00000112" w14:textId="77777777" w:rsidR="00E6009A" w:rsidRPr="00EA4C1F" w:rsidRDefault="00E6009A" w:rsidP="00EA4C1F">
      <w:pPr>
        <w:jc w:val="both"/>
        <w:rPr>
          <w:rFonts w:ascii="Times New Roman" w:hAnsi="Times New Roman" w:cs="Times New Roman"/>
        </w:rPr>
      </w:pPr>
    </w:p>
    <w:p w14:paraId="00000113"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Como último paso para la medición del pasivo, se calculará el ajuste por riesgo no financiero que representa el riesgo que asume la entidad ante la incertidumbre de los flujos futuros de la cartera de seguros. En este trabajo, el ajuste por riesgo se limita al riesgo de siniestro, es decir, el desvío en frecuencia y severidad capturada por el modelo de estimación. Adicionalmente, para esta sección, no se extrapolan las colas del desarrollo de siniestros, ya que se busca observar una distribución empírica.</w:t>
      </w:r>
    </w:p>
    <w:p w14:paraId="00000114"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Se considerarán medidas de riesgo de la distribución de IBNR por percentil para aproximar el ajuste, en particular, </w:t>
      </w:r>
      <w:proofErr w:type="spellStart"/>
      <w:r w:rsidRPr="00EA4C1F">
        <w:rPr>
          <w:rFonts w:ascii="Times New Roman" w:eastAsia="Times New Roman" w:hAnsi="Times New Roman" w:cs="Times New Roman"/>
          <w:sz w:val="24"/>
          <w:szCs w:val="24"/>
        </w:rPr>
        <w:t>Value</w:t>
      </w:r>
      <w:proofErr w:type="spellEnd"/>
      <w:r w:rsidRPr="00EA4C1F">
        <w:rPr>
          <w:rFonts w:ascii="Times New Roman" w:eastAsia="Times New Roman" w:hAnsi="Times New Roman" w:cs="Times New Roman"/>
          <w:sz w:val="24"/>
          <w:szCs w:val="24"/>
        </w:rPr>
        <w:t xml:space="preserve"> at Risk (de ahora en </w:t>
      </w:r>
      <w:proofErr w:type="spellStart"/>
      <w:r w:rsidRPr="00EA4C1F">
        <w:rPr>
          <w:rFonts w:ascii="Times New Roman" w:eastAsia="Times New Roman" w:hAnsi="Times New Roman" w:cs="Times New Roman"/>
          <w:sz w:val="24"/>
          <w:szCs w:val="24"/>
        </w:rPr>
        <w:t>mas</w:t>
      </w:r>
      <w:proofErr w:type="spellEnd"/>
      <w:r w:rsidRPr="00EA4C1F">
        <w:rPr>
          <w:rFonts w:ascii="Times New Roman" w:eastAsia="Times New Roman" w:hAnsi="Times New Roman" w:cs="Times New Roman"/>
          <w:sz w:val="24"/>
          <w:szCs w:val="24"/>
        </w:rPr>
        <w:t xml:space="preserve">, VaR) y Tail </w:t>
      </w:r>
      <w:proofErr w:type="spellStart"/>
      <w:r w:rsidRPr="00EA4C1F">
        <w:rPr>
          <w:rFonts w:ascii="Times New Roman" w:eastAsia="Times New Roman" w:hAnsi="Times New Roman" w:cs="Times New Roman"/>
          <w:sz w:val="24"/>
          <w:szCs w:val="24"/>
        </w:rPr>
        <w:t>Value</w:t>
      </w:r>
      <w:proofErr w:type="spellEnd"/>
      <w:r w:rsidRPr="00EA4C1F">
        <w:rPr>
          <w:rFonts w:ascii="Times New Roman" w:eastAsia="Times New Roman" w:hAnsi="Times New Roman" w:cs="Times New Roman"/>
          <w:sz w:val="24"/>
          <w:szCs w:val="24"/>
        </w:rPr>
        <w:t xml:space="preserve"> at Risk (de ahora en más, </w:t>
      </w:r>
      <w:proofErr w:type="spellStart"/>
      <w:r w:rsidRPr="00EA4C1F">
        <w:rPr>
          <w:rFonts w:ascii="Times New Roman" w:eastAsia="Times New Roman" w:hAnsi="Times New Roman" w:cs="Times New Roman"/>
          <w:sz w:val="24"/>
          <w:szCs w:val="24"/>
        </w:rPr>
        <w:t>TVar</w:t>
      </w:r>
      <w:proofErr w:type="spellEnd"/>
      <w:r w:rsidRPr="00EA4C1F">
        <w:rPr>
          <w:rFonts w:ascii="Times New Roman" w:eastAsia="Times New Roman" w:hAnsi="Times New Roman" w:cs="Times New Roman"/>
          <w:sz w:val="24"/>
          <w:szCs w:val="24"/>
        </w:rPr>
        <w:t>) así como diferentes formas de construir dichas distribuciones de acuerdo con las características que presenta el triángulo de siniestros. En todos los casos, el ajuste por riesgo se define como la diferencia entre una medida de cola de la distribución y el valor esperado del pasivo.</w:t>
      </w:r>
    </w:p>
    <w:p w14:paraId="00000115" w14:textId="77777777" w:rsidR="00E6009A" w:rsidRPr="00EA4C1F" w:rsidRDefault="00000000" w:rsidP="00EA4C1F">
      <w:pPr>
        <w:pStyle w:val="Heading4"/>
        <w:numPr>
          <w:ilvl w:val="3"/>
          <w:numId w:val="3"/>
        </w:numPr>
        <w:spacing w:before="240" w:after="240" w:line="480" w:lineRule="auto"/>
        <w:ind w:left="1275"/>
        <w:jc w:val="both"/>
        <w:rPr>
          <w:rFonts w:ascii="Times New Roman" w:hAnsi="Times New Roman" w:cs="Times New Roman"/>
          <w:i w:val="0"/>
          <w:iCs w:val="0"/>
        </w:rPr>
      </w:pPr>
      <w:bookmarkStart w:id="30" w:name="_Toc221446751"/>
      <w:r w:rsidRPr="00EA4C1F">
        <w:rPr>
          <w:rFonts w:ascii="Times New Roman" w:hAnsi="Times New Roman" w:cs="Times New Roman"/>
          <w:i w:val="0"/>
          <w:iCs w:val="0"/>
        </w:rPr>
        <w:lastRenderedPageBreak/>
        <w:t>Enfoque de estimación de la distribución</w:t>
      </w:r>
      <w:bookmarkEnd w:id="30"/>
    </w:p>
    <w:p w14:paraId="00000116" w14:textId="54D5364F"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enfoque elegido, se utiliza un procedimiento de </w:t>
      </w:r>
      <w:proofErr w:type="spellStart"/>
      <w:r w:rsidR="00070D71" w:rsidRPr="00EA4C1F">
        <w:rPr>
          <w:rFonts w:ascii="Times New Roman" w:eastAsia="Times New Roman" w:hAnsi="Times New Roman" w:cs="Times New Roman"/>
          <w:sz w:val="24"/>
          <w:szCs w:val="24"/>
        </w:rPr>
        <w:t>Bootstrap</w:t>
      </w:r>
      <w:r w:rsidR="00070D71">
        <w:rPr>
          <w:rFonts w:ascii="Times New Roman" w:eastAsia="Times New Roman" w:hAnsi="Times New Roman" w:cs="Times New Roman"/>
          <w:sz w:val="24"/>
          <w:szCs w:val="24"/>
        </w:rPr>
        <w:t>ing</w:t>
      </w:r>
      <w:proofErr w:type="spellEnd"/>
      <w:r w:rsidRPr="00EA4C1F">
        <w:rPr>
          <w:rFonts w:ascii="Times New Roman" w:eastAsia="Times New Roman" w:hAnsi="Times New Roman" w:cs="Times New Roman"/>
          <w:sz w:val="24"/>
          <w:szCs w:val="24"/>
        </w:rPr>
        <w:t xml:space="preserve"> propuesto por England &amp; Verrall </w:t>
      </w:r>
      <w:r w:rsidR="00070D71" w:rsidRPr="00070D71">
        <w:rPr>
          <w:rFonts w:ascii="Times New Roman" w:eastAsia="Times New Roman" w:hAnsi="Times New Roman" w:cs="Times New Roman"/>
          <w:noProof/>
          <w:sz w:val="24"/>
          <w:szCs w:val="24"/>
        </w:rPr>
        <w:t>(2002)</w:t>
      </w:r>
      <w:r w:rsidR="00070D71">
        <w:rPr>
          <w:rFonts w:ascii="Times New Roman" w:eastAsia="Times New Roman" w:hAnsi="Times New Roman" w:cs="Times New Roman"/>
          <w:sz w:val="24"/>
          <w:szCs w:val="24"/>
        </w:rPr>
        <w:t xml:space="preserve"> para </w:t>
      </w:r>
      <w:proofErr w:type="spellStart"/>
      <w:r w:rsidR="00070D71">
        <w:rPr>
          <w:rFonts w:ascii="Times New Roman" w:eastAsia="Times New Roman" w:hAnsi="Times New Roman" w:cs="Times New Roman"/>
          <w:sz w:val="24"/>
          <w:szCs w:val="24"/>
        </w:rPr>
        <w:t>remuestrear</w:t>
      </w:r>
      <w:proofErr w:type="spellEnd"/>
      <w:r w:rsidR="00070D71">
        <w:rPr>
          <w:rFonts w:ascii="Times New Roman" w:eastAsia="Times New Roman" w:hAnsi="Times New Roman" w:cs="Times New Roman"/>
          <w:sz w:val="24"/>
          <w:szCs w:val="24"/>
        </w:rPr>
        <w:t xml:space="preserve"> el triángulo y luego aplicar los componentes correspondientes al BBA</w:t>
      </w:r>
      <w:r w:rsidRPr="00EA4C1F">
        <w:rPr>
          <w:rFonts w:ascii="Times New Roman" w:eastAsia="Times New Roman" w:hAnsi="Times New Roman" w:cs="Times New Roman"/>
          <w:sz w:val="24"/>
          <w:szCs w:val="24"/>
        </w:rPr>
        <w:t>.  Para esto, se parte triángulo de siniestros acumulados, calculado en la sección “Medición de Siniestro” y se procede a modificar</w:t>
      </w:r>
      <w:r w:rsidR="00070D71">
        <w:rPr>
          <w:rFonts w:ascii="Times New Roman" w:eastAsia="Times New Roman" w:hAnsi="Times New Roman" w:cs="Times New Roman"/>
          <w:sz w:val="24"/>
          <w:szCs w:val="24"/>
        </w:rPr>
        <w:t xml:space="preserve">lo </w:t>
      </w:r>
      <w:r w:rsidRPr="00EA4C1F">
        <w:rPr>
          <w:rFonts w:ascii="Times New Roman" w:eastAsia="Times New Roman" w:hAnsi="Times New Roman" w:cs="Times New Roman"/>
          <w:sz w:val="24"/>
          <w:szCs w:val="24"/>
        </w:rPr>
        <w:t xml:space="preserve">aplicando los </w:t>
      </w:r>
      <w:proofErr w:type="spellStart"/>
      <w:r w:rsidRPr="00EA4C1F">
        <w:rPr>
          <w:rFonts w:ascii="Times New Roman" w:eastAsia="Times New Roman" w:hAnsi="Times New Roman" w:cs="Times New Roman"/>
          <w:sz w:val="24"/>
          <w:szCs w:val="24"/>
        </w:rPr>
        <w:t>FDIs</w:t>
      </w:r>
      <w:proofErr w:type="spellEnd"/>
      <w:r w:rsidRPr="00EA4C1F">
        <w:rPr>
          <w:rFonts w:ascii="Times New Roman" w:eastAsia="Times New Roman" w:hAnsi="Times New Roman" w:cs="Times New Roman"/>
          <w:sz w:val="24"/>
          <w:szCs w:val="24"/>
        </w:rPr>
        <w:t xml:space="preserve"> correspondientes de forma retrospectiva, resultando así en un triángulo ajustado acumulado:</w:t>
      </w:r>
    </w:p>
    <w:p w14:paraId="00000117" w14:textId="02A5D4F9"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br/>
      </w: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i,j-1</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j-1</m:t>
                      </m:r>
                    </m:sub>
                  </m:sSub>
                </m:den>
              </m:f>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13</m:t>
                  </m:r>
                </m:e>
              </m:d>
            </m:e>
          </m:eqArr>
          <m:r>
            <w:rPr>
              <w:rFonts w:ascii="Cambria Math" w:eastAsia="Times New Roman" w:hAnsi="Cambria Math" w:cs="Times New Roman"/>
              <w:sz w:val="24"/>
              <w:szCs w:val="24"/>
            </w:rPr>
            <m:t xml:space="preserve"> </m:t>
          </m:r>
        </m:oMath>
      </m:oMathPara>
    </w:p>
    <w:p w14:paraId="00000119" w14:textId="67DEB175" w:rsidR="00E6009A" w:rsidRDefault="00000000" w:rsidP="00C2192E">
      <w:pPr>
        <w:spacing w:before="100" w:beforeAutospacing="1"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Donde</w:t>
      </w:r>
      <w:r w:rsidR="00C2192E">
        <w:rPr>
          <w:rFonts w:ascii="Times New Roman" w:eastAsia="Times New Roman" w:hAnsi="Times New Roman" w:cs="Times New Roman"/>
          <w:sz w:val="24"/>
          <w:szCs w:val="24"/>
        </w:rPr>
        <w:t xml:space="preserve">: </w:t>
      </w:r>
    </w:p>
    <w:p w14:paraId="625D4A5C" w14:textId="62236C12" w:rsidR="00C2192E" w:rsidRDefault="00000000" w:rsidP="00C2192E">
      <w:pPr>
        <w:pStyle w:val="ListParagraph"/>
        <w:numPr>
          <w:ilvl w:val="0"/>
          <w:numId w:val="1"/>
        </w:numPr>
        <w:spacing w:before="100" w:beforeAutospacing="1" w:after="0"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m:t>
            </m:r>
          </m:sub>
        </m:sSub>
      </m:oMath>
      <w:r w:rsidR="00C2192E">
        <w:rPr>
          <w:rFonts w:ascii="Times New Roman" w:eastAsia="Times New Roman" w:hAnsi="Times New Roman" w:cs="Times New Roman"/>
          <w:sz w:val="24"/>
          <w:szCs w:val="24"/>
        </w:rPr>
        <w:t xml:space="preserve"> son los siniestros acumulados</w:t>
      </w:r>
      <w:r w:rsidR="00FA14CE">
        <w:rPr>
          <w:rFonts w:ascii="Times New Roman" w:eastAsia="Times New Roman" w:hAnsi="Times New Roman" w:cs="Times New Roman"/>
          <w:sz w:val="24"/>
          <w:szCs w:val="24"/>
        </w:rPr>
        <w:t xml:space="preserve"> estimados</w:t>
      </w:r>
      <w:r w:rsidR="00C2192E">
        <w:rPr>
          <w:rFonts w:ascii="Times New Roman" w:eastAsia="Times New Roman" w:hAnsi="Times New Roman" w:cs="Times New Roman"/>
          <w:sz w:val="24"/>
          <w:szCs w:val="24"/>
        </w:rPr>
        <w:t xml:space="preserve"> con año de ocurrencia “i” y periodo de desarrollo “j”</w:t>
      </w:r>
    </w:p>
    <w:p w14:paraId="0000011A" w14:textId="308DC813" w:rsidR="00E6009A" w:rsidRPr="00C2192E" w:rsidRDefault="00000000" w:rsidP="00C2192E">
      <w:pPr>
        <w:pStyle w:val="ListParagraph"/>
        <w:numPr>
          <w:ilvl w:val="0"/>
          <w:numId w:val="1"/>
        </w:numPr>
        <w:spacing w:before="100" w:beforeAutospacing="1" w:after="0" w:line="48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j-1</m:t>
            </m:r>
          </m:sub>
        </m:sSub>
      </m:oMath>
      <w:r w:rsidR="00C2192E">
        <w:rPr>
          <w:rFonts w:ascii="Times New Roman" w:eastAsia="Times New Roman" w:hAnsi="Times New Roman" w:cs="Times New Roman"/>
          <w:sz w:val="24"/>
          <w:szCs w:val="24"/>
        </w:rPr>
        <w:t xml:space="preserve"> son los </w:t>
      </w:r>
      <w:proofErr w:type="spellStart"/>
      <w:r w:rsidR="00C2192E">
        <w:rPr>
          <w:rFonts w:ascii="Times New Roman" w:eastAsia="Times New Roman" w:hAnsi="Times New Roman" w:cs="Times New Roman"/>
          <w:sz w:val="24"/>
          <w:szCs w:val="24"/>
        </w:rPr>
        <w:t>FDIs</w:t>
      </w:r>
      <w:proofErr w:type="spellEnd"/>
      <w:r w:rsidR="00C2192E">
        <w:rPr>
          <w:rFonts w:ascii="Times New Roman" w:eastAsia="Times New Roman" w:hAnsi="Times New Roman" w:cs="Times New Roman"/>
          <w:sz w:val="24"/>
          <w:szCs w:val="24"/>
        </w:rPr>
        <w:t xml:space="preserve"> correspondientes al periodo “j-1”</w:t>
      </w:r>
    </w:p>
    <w:p w14:paraId="0000011B" w14:textId="49706979" w:rsidR="00E6009A"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Como paso siguiente, se obtienen los incrementales de dicho triángulo y se calcula con ellos los residuales de Pearson ajustados para cada valor </w:t>
      </w:r>
      <w:r w:rsidR="00C2192E" w:rsidRPr="00EA4C1F">
        <w:rPr>
          <w:rFonts w:ascii="Times New Roman" w:eastAsia="Times New Roman" w:hAnsi="Times New Roman" w:cs="Times New Roman"/>
          <w:sz w:val="24"/>
          <w:szCs w:val="24"/>
        </w:rPr>
        <w:t>de este</w:t>
      </w:r>
      <w:r w:rsidRPr="00EA4C1F">
        <w:rPr>
          <w:rFonts w:ascii="Times New Roman" w:eastAsia="Times New Roman" w:hAnsi="Times New Roman" w:cs="Times New Roman"/>
          <w:sz w:val="24"/>
          <w:szCs w:val="24"/>
        </w:rPr>
        <w:t xml:space="preserve">. Esto resulta en un triángulo de </w:t>
      </w:r>
      <w:r w:rsidR="00C2192E" w:rsidRPr="00EA4C1F">
        <w:rPr>
          <w:rFonts w:ascii="Times New Roman" w:eastAsia="Times New Roman" w:hAnsi="Times New Roman" w:cs="Times New Roman"/>
          <w:sz w:val="24"/>
          <w:szCs w:val="24"/>
        </w:rPr>
        <w:t>residuales:</w:t>
      </w:r>
    </w:p>
    <w:p w14:paraId="48BBFCB1" w14:textId="6ED9E744" w:rsidR="00070D71" w:rsidRPr="00070D71" w:rsidRDefault="00000000" w:rsidP="006B639C">
      <w:pPr>
        <w:spacing w:before="100" w:beforeAutospacing="1" w:after="100" w:afterAutospacing="1"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r</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 xml:space="preserve"> =r</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n - p</m:t>
                      </m:r>
                    </m:den>
                  </m:f>
                </m:e>
              </m:ra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14</m:t>
                  </m:r>
                </m:e>
              </m:d>
            </m:e>
          </m:eqArr>
        </m:oMath>
      </m:oMathPara>
    </w:p>
    <w:p w14:paraId="25B58311" w14:textId="41523C62" w:rsidR="00FA14CE" w:rsidRPr="00FA14CE" w:rsidRDefault="00FA14CE" w:rsidP="006B639C">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w:t>
      </w:r>
    </w:p>
    <w:p w14:paraId="5C0B6EE6" w14:textId="77777777" w:rsidR="00FA14CE" w:rsidRPr="00FA14CE" w:rsidRDefault="00C2192E" w:rsidP="006B639C">
      <w:pPr>
        <w:spacing w:before="100" w:beforeAutospacing="1" w:after="100" w:afterAutospacing="1"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r</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i,j-1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i,j</m:t>
                      </m:r>
                    </m:sub>
                  </m:sSub>
                </m:num>
                <m:den>
                  <m:rad>
                    <m:radPr>
                      <m:degHide m:val="1"/>
                      <m:ctrlPr>
                        <w:rPr>
                          <w:rFonts w:ascii="Cambria Math" w:eastAsia="Times New Roman" w:hAnsi="Cambria Math" w:cs="Times New Roman"/>
                          <w:i/>
                          <w:sz w:val="24"/>
                          <w:szCs w:val="24"/>
                        </w:rPr>
                      </m:ctrlPr>
                    </m:radPr>
                    <m:deg/>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i,j</m:t>
                              </m:r>
                            </m:sub>
                          </m:sSub>
                        </m:e>
                      </m:d>
                    </m:e>
                  </m:rad>
                </m:den>
              </m:f>
            </m:e>
          </m:d>
        </m:oMath>
      </m:oMathPara>
    </w:p>
    <w:p w14:paraId="73BFEDC9" w14:textId="25122FAF" w:rsidR="00070D71" w:rsidRPr="00070D71" w:rsidRDefault="00000000" w:rsidP="006B639C">
      <w:pPr>
        <w:spacing w:before="100" w:beforeAutospacing="1" w:after="100" w:afterAutospacing="1" w:line="480" w:lineRule="auto"/>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t+1</m:t>
                      </m:r>
                    </m:num>
                    <m:den>
                      <m:r>
                        <w:rPr>
                          <w:rFonts w:ascii="Cambria Math" w:eastAsia="Times New Roman" w:hAnsi="Cambria Math" w:cs="Times New Roman"/>
                          <w:sz w:val="24"/>
                          <w:szCs w:val="24"/>
                        </w:rPr>
                        <m:t>2</m:t>
                      </m:r>
                    </m:den>
                  </m:f>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15</m:t>
                  </m:r>
                </m:e>
              </m:d>
            </m:e>
          </m:eqArr>
        </m:oMath>
      </m:oMathPara>
    </w:p>
    <w:p w14:paraId="540F8A12" w14:textId="17090690" w:rsidR="00C2192E" w:rsidRPr="00EA4C1F" w:rsidRDefault="00FA14CE" w:rsidP="006B639C">
      <w:pPr>
        <w:spacing w:before="100" w:beforeAutospacing="1" w:after="100" w:afterAutospacing="1" w:line="48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p=2t-1</m:t>
          </m:r>
        </m:oMath>
      </m:oMathPara>
    </w:p>
    <w:p w14:paraId="0000011D" w14:textId="77777777" w:rsidR="00E6009A" w:rsidRDefault="00000000" w:rsidP="006B639C">
      <w:pPr>
        <w:spacing w:before="100" w:beforeAutospacing="1" w:after="100" w:afterAutospacing="1"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Donde:</w:t>
      </w:r>
    </w:p>
    <w:p w14:paraId="7969E14B" w14:textId="2C33BA4F" w:rsidR="00FA14CE" w:rsidRPr="006B639C" w:rsidRDefault="00FA14CE" w:rsidP="006B639C">
      <w:pPr>
        <w:pStyle w:val="ListParagraph"/>
        <w:numPr>
          <w:ilvl w:val="0"/>
          <w:numId w:val="1"/>
        </w:numPr>
        <w:spacing w:before="100" w:beforeAutospacing="1" w:after="100" w:afterAutospacing="1" w:line="480" w:lineRule="auto"/>
        <w:jc w:val="both"/>
        <w:rPr>
          <w:rFonts w:ascii="Times New Roman" w:eastAsia="Times New Roman" w:hAnsi="Times New Roman" w:cs="Times New Roman"/>
        </w:rPr>
      </w:pPr>
      <m:oMath>
        <m:r>
          <w:rPr>
            <w:rFonts w:ascii="Cambria Math" w:eastAsia="Times New Roman" w:hAnsi="Cambria Math" w:cs="Times New Roman"/>
          </w:rPr>
          <m:t>r</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i,j</m:t>
            </m:r>
          </m:sub>
        </m:sSub>
      </m:oMath>
      <w:r w:rsidRPr="006B639C">
        <w:rPr>
          <w:rFonts w:ascii="Times New Roman" w:eastAsia="Times New Roman" w:hAnsi="Times New Roman" w:cs="Times New Roman"/>
        </w:rPr>
        <w:t xml:space="preserve"> son los residuales de Pearson </w:t>
      </w:r>
      <w:r w:rsidR="006B639C" w:rsidRPr="006B639C">
        <w:rPr>
          <w:rFonts w:ascii="Times New Roman" w:eastAsia="Times New Roman" w:hAnsi="Times New Roman" w:cs="Times New Roman"/>
        </w:rPr>
        <w:t xml:space="preserve">escalados </w:t>
      </w:r>
      <w:r w:rsidRPr="006B639C">
        <w:rPr>
          <w:rFonts w:ascii="Times New Roman" w:eastAsia="Times New Roman" w:hAnsi="Times New Roman" w:cs="Times New Roman"/>
        </w:rPr>
        <w:t>para el año de ocurrencia “i” y le periodo de desarrollo “j”</w:t>
      </w:r>
      <w:r w:rsidR="006B639C" w:rsidRPr="006B639C">
        <w:rPr>
          <w:rFonts w:ascii="Times New Roman" w:eastAsia="Times New Roman" w:hAnsi="Times New Roman" w:cs="Times New Roman"/>
        </w:rPr>
        <w:t>, asumiendo que la siniestralidad se comporta como una distribución de Poisson sobre dispersada.</w:t>
      </w:r>
    </w:p>
    <w:p w14:paraId="1BF74434" w14:textId="1E2957D8" w:rsidR="006B639C" w:rsidRPr="006B639C" w:rsidRDefault="006B639C" w:rsidP="006B639C">
      <w:pPr>
        <w:pStyle w:val="ListParagraph"/>
        <w:numPr>
          <w:ilvl w:val="0"/>
          <w:numId w:val="1"/>
        </w:numPr>
        <w:spacing w:before="100" w:beforeAutospacing="1" w:after="100" w:afterAutospacing="1" w:line="480" w:lineRule="auto"/>
        <w:jc w:val="both"/>
        <w:rPr>
          <w:rFonts w:ascii="Times New Roman" w:eastAsia="Times New Roman" w:hAnsi="Times New Roman" w:cs="Times New Roman"/>
        </w:rPr>
      </w:pPr>
      <m:oMath>
        <m:r>
          <w:rPr>
            <w:rFonts w:ascii="Cambria Math" w:eastAsia="Times New Roman" w:hAnsi="Cambria Math" w:cs="Times New Roman"/>
          </w:rPr>
          <m:t>r</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i,j</m:t>
            </m:r>
          </m:sub>
        </m:sSub>
      </m:oMath>
      <w:r w:rsidRPr="006B639C">
        <w:rPr>
          <w:rFonts w:ascii="Times New Roman" w:eastAsia="Times New Roman" w:hAnsi="Times New Roman" w:cs="Times New Roman"/>
        </w:rPr>
        <w:t xml:space="preserve"> son los residuales de Pearson para el año de ocurrencia “i” y le periodo de desarrollo “j”</w:t>
      </w:r>
    </w:p>
    <w:p w14:paraId="495CCE39" w14:textId="33D70737" w:rsidR="00FA14CE" w:rsidRPr="006B639C" w:rsidRDefault="00000000" w:rsidP="006B639C">
      <w:pPr>
        <w:pStyle w:val="ListParagraph"/>
        <w:numPr>
          <w:ilvl w:val="0"/>
          <w:numId w:val="1"/>
        </w:numPr>
        <w:spacing w:before="100" w:beforeAutospacing="1" w:after="100" w:afterAutospacing="1" w:line="480" w:lineRule="auto"/>
        <w:jc w:val="both"/>
        <w:rPr>
          <w:rFonts w:ascii="Times New Roman" w:eastAsia="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i,j</m:t>
            </m:r>
          </m:sub>
        </m:sSub>
      </m:oMath>
      <w:r w:rsidR="00FA14CE" w:rsidRPr="006B639C">
        <w:rPr>
          <w:rFonts w:ascii="Times New Roman" w:eastAsia="Times New Roman" w:hAnsi="Times New Roman" w:cs="Times New Roman"/>
        </w:rPr>
        <w:t xml:space="preserve"> son los siniestros acumulados reales con año de ocurrencia “i” y periodo de desarrollo “j”</w:t>
      </w:r>
    </w:p>
    <w:p w14:paraId="3C345285" w14:textId="77777777" w:rsidR="00FA14CE" w:rsidRPr="006B639C" w:rsidRDefault="00000000" w:rsidP="006B639C">
      <w:pPr>
        <w:pStyle w:val="ListParagraph"/>
        <w:numPr>
          <w:ilvl w:val="0"/>
          <w:numId w:val="1"/>
        </w:numPr>
        <w:spacing w:before="100" w:beforeAutospacing="1" w:after="100" w:afterAutospacing="1" w:line="480" w:lineRule="auto"/>
        <w:jc w:val="both"/>
        <w:rPr>
          <w:rFonts w:ascii="Times New Roman" w:eastAsia="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D</m:t>
            </m:r>
          </m:e>
          <m:sub>
            <m:r>
              <w:rPr>
                <w:rFonts w:ascii="Cambria Math" w:eastAsia="Times New Roman" w:hAnsi="Cambria Math" w:cs="Times New Roman"/>
              </w:rPr>
              <m:t>i,j</m:t>
            </m:r>
          </m:sub>
        </m:sSub>
      </m:oMath>
      <w:r w:rsidR="00FA14CE" w:rsidRPr="006B639C">
        <w:rPr>
          <w:rFonts w:ascii="Times New Roman" w:eastAsia="Times New Roman" w:hAnsi="Times New Roman" w:cs="Times New Roman"/>
        </w:rPr>
        <w:t xml:space="preserve"> son los siniestros acumulados estimados con año de ocurrencia “i” y periodo de desarrollo “j”</w:t>
      </w:r>
    </w:p>
    <w:p w14:paraId="0000011E" w14:textId="11140541" w:rsidR="00E6009A" w:rsidRPr="006B639C" w:rsidRDefault="00FA14CE" w:rsidP="006B639C">
      <w:pPr>
        <w:pStyle w:val="ListParagraph"/>
        <w:numPr>
          <w:ilvl w:val="0"/>
          <w:numId w:val="1"/>
        </w:numPr>
        <w:spacing w:before="100" w:beforeAutospacing="1" w:after="100" w:afterAutospacing="1" w:line="480" w:lineRule="auto"/>
        <w:jc w:val="both"/>
        <w:rPr>
          <w:rFonts w:ascii="Times New Roman" w:eastAsia="Times New Roman" w:hAnsi="Times New Roman" w:cs="Times New Roman"/>
        </w:rPr>
      </w:pPr>
      <m:oMath>
        <m:r>
          <w:rPr>
            <w:rFonts w:ascii="Cambria Math" w:eastAsia="Times New Roman" w:hAnsi="Cambria Math" w:cs="Times New Roman"/>
          </w:rPr>
          <m:t>t</m:t>
        </m:r>
      </m:oMath>
      <w:r w:rsidRPr="006B639C">
        <w:rPr>
          <w:rFonts w:ascii="Times New Roman" w:eastAsia="Times New Roman" w:hAnsi="Times New Roman" w:cs="Times New Roman"/>
        </w:rPr>
        <w:t xml:space="preserve"> es el </w:t>
      </w:r>
      <w:r w:rsidR="006B639C" w:rsidRPr="006B639C">
        <w:rPr>
          <w:rFonts w:ascii="Times New Roman" w:eastAsia="Times New Roman" w:hAnsi="Times New Roman" w:cs="Times New Roman"/>
        </w:rPr>
        <w:t>número</w:t>
      </w:r>
      <w:r w:rsidRPr="006B639C">
        <w:rPr>
          <w:rFonts w:ascii="Times New Roman" w:eastAsia="Times New Roman" w:hAnsi="Times New Roman" w:cs="Times New Roman"/>
        </w:rPr>
        <w:t xml:space="preserve"> de años estudiado.</w:t>
      </w:r>
    </w:p>
    <w:p w14:paraId="0000011F" w14:textId="21D7805D"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Se inicia un bucle iterativo que se repetirá hasta que el promedio de todos los resultados converja en el IBNR total calculado en la sección “Medición de siniestros</w:t>
      </w:r>
      <w:r w:rsidR="006B639C" w:rsidRPr="00EA4C1F">
        <w:rPr>
          <w:rFonts w:ascii="Times New Roman" w:eastAsia="Times New Roman" w:hAnsi="Times New Roman" w:cs="Times New Roman"/>
          <w:sz w:val="24"/>
          <w:szCs w:val="24"/>
        </w:rPr>
        <w:t>”:</w:t>
      </w:r>
    </w:p>
    <w:p w14:paraId="00000120" w14:textId="77777777" w:rsidR="00E6009A" w:rsidRPr="00EA4C1F" w:rsidRDefault="00000000" w:rsidP="00EA4C1F">
      <w:pPr>
        <w:numPr>
          <w:ilvl w:val="0"/>
          <w:numId w:val="8"/>
        </w:numPr>
        <w:spacing w:before="240"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 De forma aleatoria con igual probabilidad, se </w:t>
      </w:r>
      <w:proofErr w:type="spellStart"/>
      <w:r w:rsidRPr="00EA4C1F">
        <w:rPr>
          <w:rFonts w:ascii="Times New Roman" w:eastAsia="Times New Roman" w:hAnsi="Times New Roman" w:cs="Times New Roman"/>
          <w:sz w:val="24"/>
          <w:szCs w:val="24"/>
        </w:rPr>
        <w:t>remuestrean</w:t>
      </w:r>
      <w:proofErr w:type="spellEnd"/>
      <w:r w:rsidRPr="00EA4C1F">
        <w:rPr>
          <w:rFonts w:ascii="Times New Roman" w:eastAsia="Times New Roman" w:hAnsi="Times New Roman" w:cs="Times New Roman"/>
          <w:sz w:val="24"/>
          <w:szCs w:val="24"/>
        </w:rPr>
        <w:t xml:space="preserve"> los residuales de Pearson ajustados, construyendo así, un nuevo triángulo.</w:t>
      </w:r>
    </w:p>
    <w:p w14:paraId="00000121" w14:textId="77777777" w:rsidR="00E6009A" w:rsidRPr="00EA4C1F" w:rsidRDefault="00000000" w:rsidP="00EA4C1F">
      <w:pPr>
        <w:numPr>
          <w:ilvl w:val="0"/>
          <w:numId w:val="8"/>
        </w:numPr>
        <w:spacing w:after="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 Se obtienen los valores de siniestros incrementales a partir de los residuos de Pearson y se acumulan en un nuevo triángulo de siniestros acumulados.</w:t>
      </w:r>
    </w:p>
    <w:p w14:paraId="00000122" w14:textId="77777777" w:rsidR="00E6009A" w:rsidRPr="00EA4C1F" w:rsidRDefault="00000000" w:rsidP="00EA4C1F">
      <w:pPr>
        <w:numPr>
          <w:ilvl w:val="0"/>
          <w:numId w:val="8"/>
        </w:numPr>
        <w:spacing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Utilizando la misma metodología que en la sección “Medición de siniestros” y aplicando el factor de descuento se obtiene el monto total del IBNR</w:t>
      </w:r>
    </w:p>
    <w:p w14:paraId="00000123" w14:textId="77777777" w:rsidR="00E6009A" w:rsidRPr="00EA4C1F"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 xml:space="preserve">El resultado de este bucle será una distribución empírica de la estimación de IBNR por Chain Ladder sobre la cual se calcularán las medidas de riesgo VaR y </w:t>
      </w:r>
      <w:proofErr w:type="spellStart"/>
      <w:r w:rsidRPr="00EA4C1F">
        <w:rPr>
          <w:rFonts w:ascii="Times New Roman" w:eastAsia="Times New Roman" w:hAnsi="Times New Roman" w:cs="Times New Roman"/>
          <w:sz w:val="24"/>
          <w:szCs w:val="24"/>
        </w:rPr>
        <w:t>TVaR</w:t>
      </w:r>
      <w:proofErr w:type="spellEnd"/>
      <w:r w:rsidRPr="00EA4C1F">
        <w:rPr>
          <w:rFonts w:ascii="Times New Roman" w:eastAsia="Times New Roman" w:hAnsi="Times New Roman" w:cs="Times New Roman"/>
          <w:sz w:val="24"/>
          <w:szCs w:val="24"/>
        </w:rPr>
        <w:t xml:space="preserve"> con niveles de confianza entre 60% y 95%. Este último se define como el valor promedio de la distribución al superarse el cierto nivel de confianza.</w:t>
      </w:r>
    </w:p>
    <w:p w14:paraId="00000124" w14:textId="77777777" w:rsidR="00E6009A" w:rsidRPr="00EA4C1F" w:rsidRDefault="00000000" w:rsidP="00EA4C1F">
      <w:pPr>
        <w:pStyle w:val="Heading4"/>
        <w:numPr>
          <w:ilvl w:val="3"/>
          <w:numId w:val="3"/>
        </w:numPr>
        <w:spacing w:before="240" w:after="240" w:line="480" w:lineRule="auto"/>
        <w:ind w:left="1275"/>
        <w:jc w:val="both"/>
        <w:rPr>
          <w:rFonts w:ascii="Times New Roman" w:hAnsi="Times New Roman" w:cs="Times New Roman"/>
        </w:rPr>
      </w:pPr>
      <w:bookmarkStart w:id="31" w:name="_Toc221446752"/>
      <w:r w:rsidRPr="00EA4C1F">
        <w:rPr>
          <w:rFonts w:ascii="Times New Roman" w:hAnsi="Times New Roman" w:cs="Times New Roman"/>
        </w:rPr>
        <w:t>Selección y aplicación del ajuste de riesgo no financiero</w:t>
      </w:r>
      <w:bookmarkEnd w:id="31"/>
    </w:p>
    <w:p w14:paraId="2BC877C2" w14:textId="44A70F6A" w:rsidR="00070D71" w:rsidRPr="00070D71"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Una vez obtenidos los diferentes puntos de las medidas de riesgos, con criterio experto del actuario se realiza una selección a partir del historial y las características del ramo. Luego, se calcula un factor de ajuste de forma:</w:t>
      </w:r>
      <w:r w:rsidRPr="00EA4C1F">
        <w:rPr>
          <w:rFonts w:ascii="Times New Roman" w:eastAsia="Times New Roman" w:hAnsi="Times New Roman" w:cs="Times New Roman"/>
          <w:sz w:val="24"/>
          <w:szCs w:val="24"/>
        </w:rPr>
        <w:br/>
      </w: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Ajuste</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p</m:t>
                      </m:r>
                    </m:e>
                  </m:d>
                  <m:r>
                    <w:rPr>
                      <w:rFonts w:ascii="Cambria Math" w:eastAsia="Times New Roman" w:hAnsi="Cambria Math" w:cs="Times New Roman"/>
                      <w:sz w:val="24"/>
                      <w:szCs w:val="24"/>
                    </w:rPr>
                    <m:t>- E</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m:t>
                      </m:r>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e>
                  </m:d>
                </m:num>
                <m:den>
                  <m:r>
                    <w:rPr>
                      <w:rFonts w:ascii="Cambria Math" w:eastAsia="Times New Roman" w:hAnsi="Cambria Math" w:cs="Times New Roman"/>
                      <w:sz w:val="24"/>
                      <w:szCs w:val="24"/>
                    </w:rPr>
                    <m:t>E</m:t>
                  </m:r>
                  <m:d>
                    <m:dPr>
                      <m:ctrlPr>
                        <w:rPr>
                          <w:rFonts w:ascii="Cambria Math" w:eastAsia="Times New Roman" w:hAnsi="Cambria Math" w:cs="Times New Roman"/>
                          <w:i/>
                          <w:sz w:val="24"/>
                          <w:szCs w:val="24"/>
                        </w:rPr>
                      </m:ctrlPr>
                    </m:dPr>
                    <m:e>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e>
                  </m:d>
                </m:den>
              </m:f>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16</m:t>
                  </m:r>
                </m:e>
              </m:d>
            </m:e>
          </m:eqArr>
        </m:oMath>
      </m:oMathPara>
    </w:p>
    <w:p w14:paraId="1401DAB8" w14:textId="3DE0ED98" w:rsidR="00A640BE" w:rsidRDefault="00A640BE" w:rsidP="00A640BE">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00000126" w14:textId="2CB39835" w:rsidR="00E6009A" w:rsidRDefault="00A640BE" w:rsidP="00A640BE">
      <w:pPr>
        <w:pStyle w:val="ListParagraph"/>
        <w:numPr>
          <w:ilvl w:val="0"/>
          <w:numId w:val="8"/>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R(p)</m:t>
        </m:r>
      </m:oMath>
      <w:r w:rsidRPr="00A640BE">
        <w:rPr>
          <w:rFonts w:ascii="Times New Roman" w:eastAsia="Times New Roman" w:hAnsi="Times New Roman" w:cs="Times New Roman"/>
          <w:sz w:val="24"/>
          <w:szCs w:val="24"/>
        </w:rPr>
        <w:t xml:space="preserve"> corresponde a la</w:t>
      </w:r>
      <w:r>
        <w:rPr>
          <w:rFonts w:ascii="Times New Roman" w:eastAsia="Times New Roman" w:hAnsi="Times New Roman" w:cs="Times New Roman"/>
          <w:sz w:val="24"/>
          <w:szCs w:val="24"/>
        </w:rPr>
        <w:t xml:space="preserve"> medida de riesgo elegida para el percentil “p”</w:t>
      </w:r>
      <w:r w:rsidRPr="00A640BE">
        <w:rPr>
          <w:rFonts w:ascii="Times New Roman" w:eastAsia="Times New Roman" w:hAnsi="Times New Roman" w:cs="Times New Roman"/>
          <w:sz w:val="24"/>
          <w:szCs w:val="24"/>
        </w:rPr>
        <w:t>.</w:t>
      </w:r>
    </w:p>
    <w:p w14:paraId="2A23E847" w14:textId="66FDCEDE" w:rsidR="00A640BE" w:rsidRPr="00A640BE" w:rsidRDefault="00A640BE" w:rsidP="00A640BE">
      <w:pPr>
        <w:pStyle w:val="ListParagraph"/>
        <w:numPr>
          <w:ilvl w:val="0"/>
          <w:numId w:val="8"/>
        </w:numPr>
        <w:spacing w:before="100" w:beforeAutospacing="1" w:after="100" w:afterAutospacing="1" w:line="48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E</m:t>
        </m:r>
        <m:d>
          <m:dPr>
            <m:ctrlPr>
              <w:rPr>
                <w:rFonts w:ascii="Cambria Math" w:eastAsia="Times New Roman" w:hAnsi="Cambria Math" w:cs="Times New Roman"/>
                <w:i/>
                <w:sz w:val="24"/>
                <w:szCs w:val="24"/>
              </w:rPr>
            </m:ctrlPr>
          </m:dPr>
          <m:e>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e>
        </m:d>
      </m:oMath>
      <w:r w:rsidRPr="00A640BE">
        <w:rPr>
          <w:rFonts w:ascii="Times New Roman" w:eastAsia="Times New Roman" w:hAnsi="Times New Roman" w:cs="Times New Roman"/>
          <w:sz w:val="24"/>
          <w:szCs w:val="24"/>
        </w:rPr>
        <w:t xml:space="preserve"> corresponde a la</w:t>
      </w:r>
      <w:r>
        <w:rPr>
          <w:rFonts w:ascii="Times New Roman" w:eastAsia="Times New Roman" w:hAnsi="Times New Roman" w:cs="Times New Roman"/>
          <w:sz w:val="24"/>
          <w:szCs w:val="24"/>
        </w:rPr>
        <w:t xml:space="preserve"> media de la</w:t>
      </w:r>
      <w:r w:rsidRPr="00A640BE">
        <w:rPr>
          <w:rFonts w:ascii="Times New Roman" w:eastAsia="Times New Roman" w:hAnsi="Times New Roman" w:cs="Times New Roman"/>
          <w:sz w:val="24"/>
          <w:szCs w:val="24"/>
        </w:rPr>
        <w:t xml:space="preserve"> distribución estimada en el paso anterior.</w:t>
      </w:r>
    </w:p>
    <w:p w14:paraId="25B3243B" w14:textId="6481BCCE" w:rsidR="00070D71" w:rsidRPr="00070D71" w:rsidRDefault="00000000" w:rsidP="00EA4C1F">
      <w:pPr>
        <w:spacing w:before="240" w:after="240"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Por último, se estima el ajuste por riesgo no financiero como:</w:t>
      </w:r>
      <w:r w:rsidRPr="00EA4C1F">
        <w:rPr>
          <w:rFonts w:ascii="Times New Roman" w:eastAsia="Times New Roman" w:hAnsi="Times New Roman" w:cs="Times New Roman"/>
          <w:sz w:val="24"/>
          <w:szCs w:val="24"/>
        </w:rPr>
        <w:br/>
      </w: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Ajuste de riesgo no financiero = Flujo del seguro descontado * Ajuste</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17</m:t>
                  </m:r>
                </m:e>
              </m:d>
            </m:e>
          </m:eqArr>
        </m:oMath>
      </m:oMathPara>
    </w:p>
    <w:p w14:paraId="00000128" w14:textId="77777777" w:rsidR="00E6009A" w:rsidRPr="00EA4C1F" w:rsidRDefault="00E6009A" w:rsidP="00EA4C1F">
      <w:pPr>
        <w:jc w:val="both"/>
        <w:rPr>
          <w:rFonts w:ascii="Times New Roman" w:hAnsi="Times New Roman" w:cs="Times New Roman"/>
        </w:rPr>
      </w:pPr>
    </w:p>
    <w:p w14:paraId="00000129" w14:textId="77777777" w:rsidR="00E6009A" w:rsidRPr="00EA4C1F" w:rsidRDefault="00000000" w:rsidP="00EA4C1F">
      <w:pPr>
        <w:pStyle w:val="Heading1"/>
        <w:numPr>
          <w:ilvl w:val="0"/>
          <w:numId w:val="3"/>
        </w:numPr>
      </w:pPr>
      <w:bookmarkStart w:id="32" w:name="_Toc221446753"/>
      <w:r w:rsidRPr="00EA4C1F">
        <w:t>Análisis de Resultados</w:t>
      </w:r>
      <w:bookmarkEnd w:id="32"/>
    </w:p>
    <w:p w14:paraId="0000012A"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el siguiente apartado, se describe el análisis realizado sobre las bases de datos siguiendo la metodología explicitada anteriormente, junto con los resultados obtenidos en cada paso.</w:t>
      </w:r>
    </w:p>
    <w:p w14:paraId="0000012B" w14:textId="5433C9E5"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En primer lugar, se presentan las mediciones bajo normativa del RGAA</w:t>
      </w:r>
      <w:sdt>
        <w:sdtPr>
          <w:rPr>
            <w:rFonts w:ascii="Times New Roman" w:eastAsia="Times New Roman" w:hAnsi="Times New Roman" w:cs="Times New Roman"/>
            <w:sz w:val="24"/>
            <w:szCs w:val="24"/>
          </w:rPr>
          <w:id w:val="-257446014"/>
          <w:citation/>
        </w:sdtPr>
        <w:sdtContent>
          <w:r w:rsidR="00E7772D">
            <w:rPr>
              <w:rFonts w:ascii="Times New Roman" w:eastAsia="Times New Roman" w:hAnsi="Times New Roman" w:cs="Times New Roman"/>
              <w:sz w:val="24"/>
              <w:szCs w:val="24"/>
            </w:rPr>
            <w:fldChar w:fldCharType="begin"/>
          </w:r>
          <w:r w:rsidR="00E7772D" w:rsidRPr="00E7772D">
            <w:rPr>
              <w:rFonts w:ascii="Times New Roman" w:eastAsia="Times New Roman" w:hAnsi="Times New Roman" w:cs="Times New Roman"/>
              <w:sz w:val="24"/>
              <w:szCs w:val="24"/>
            </w:rPr>
            <w:instrText xml:space="preserve"> CITATION RGAA \l 1033 </w:instrText>
          </w:r>
          <w:r w:rsidR="00E7772D">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E7772D">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ya que es el esquema regulatorio de referencia y permite establecer un punto de comparación con el esquema compatible con IFRS 17</w:t>
      </w:r>
      <w:sdt>
        <w:sdtPr>
          <w:rPr>
            <w:rFonts w:ascii="Times New Roman" w:eastAsia="Times New Roman" w:hAnsi="Times New Roman" w:cs="Times New Roman"/>
            <w:sz w:val="24"/>
            <w:szCs w:val="24"/>
          </w:rPr>
          <w:id w:val="790711968"/>
          <w:citation/>
        </w:sdtPr>
        <w:sdtContent>
          <w:r w:rsidR="00E7772D">
            <w:rPr>
              <w:rFonts w:ascii="Times New Roman" w:eastAsia="Times New Roman" w:hAnsi="Times New Roman" w:cs="Times New Roman"/>
              <w:sz w:val="24"/>
              <w:szCs w:val="24"/>
            </w:rPr>
            <w:fldChar w:fldCharType="begin"/>
          </w:r>
          <w:r w:rsidR="00E7772D" w:rsidRPr="00E7772D">
            <w:rPr>
              <w:rFonts w:ascii="Times New Roman" w:eastAsia="Times New Roman" w:hAnsi="Times New Roman" w:cs="Times New Roman"/>
              <w:sz w:val="24"/>
              <w:szCs w:val="24"/>
            </w:rPr>
            <w:instrText xml:space="preserve"> CITATION IFRS17 \l 1033 </w:instrText>
          </w:r>
          <w:r w:rsidR="00E7772D">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E7772D">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el cual se desarrolla luego es éste.</w:t>
      </w:r>
    </w:p>
    <w:p w14:paraId="0000012C" w14:textId="77777777" w:rsidR="00E6009A" w:rsidRPr="00EA4C1F" w:rsidRDefault="00000000" w:rsidP="00EA4C1F">
      <w:pPr>
        <w:pStyle w:val="Heading2"/>
        <w:numPr>
          <w:ilvl w:val="1"/>
          <w:numId w:val="3"/>
        </w:numPr>
        <w:spacing w:line="480" w:lineRule="auto"/>
        <w:jc w:val="both"/>
        <w:rPr>
          <w:rFonts w:ascii="Times New Roman" w:eastAsia="Times New Roman" w:hAnsi="Times New Roman" w:cs="Times New Roman"/>
        </w:rPr>
      </w:pPr>
      <w:bookmarkStart w:id="33" w:name="_Toc221446754"/>
      <w:r w:rsidRPr="00EA4C1F">
        <w:rPr>
          <w:rFonts w:ascii="Times New Roman" w:eastAsia="Times New Roman" w:hAnsi="Times New Roman" w:cs="Times New Roman"/>
        </w:rPr>
        <w:t>Medición bajo RGAA</w:t>
      </w:r>
      <w:bookmarkEnd w:id="33"/>
    </w:p>
    <w:p w14:paraId="5EB26267" w14:textId="7CE2B51D" w:rsidR="009C6DD8" w:rsidRDefault="00000000" w:rsidP="009C6DD8">
      <w:pPr>
        <w:keepNext/>
        <w:spacing w:after="0" w:line="480" w:lineRule="auto"/>
        <w:jc w:val="both"/>
      </w:pPr>
      <w:r w:rsidRPr="00EA4C1F">
        <w:rPr>
          <w:rFonts w:ascii="Times New Roman" w:eastAsia="Times New Roman" w:hAnsi="Times New Roman" w:cs="Times New Roman"/>
          <w:sz w:val="24"/>
          <w:szCs w:val="24"/>
        </w:rPr>
        <w:t>El esquema metodológico propuesto por el RGAA</w:t>
      </w:r>
      <w:sdt>
        <w:sdtPr>
          <w:rPr>
            <w:rFonts w:ascii="Times New Roman" w:eastAsia="Times New Roman" w:hAnsi="Times New Roman" w:cs="Times New Roman"/>
            <w:sz w:val="24"/>
            <w:szCs w:val="24"/>
          </w:rPr>
          <w:id w:val="-1916000012"/>
          <w:citation/>
        </w:sdtPr>
        <w:sdtContent>
          <w:r w:rsidR="00E7772D">
            <w:rPr>
              <w:rFonts w:ascii="Times New Roman" w:eastAsia="Times New Roman" w:hAnsi="Times New Roman" w:cs="Times New Roman"/>
              <w:sz w:val="24"/>
              <w:szCs w:val="24"/>
            </w:rPr>
            <w:fldChar w:fldCharType="begin"/>
          </w:r>
          <w:r w:rsidR="00E7772D" w:rsidRPr="00E7772D">
            <w:rPr>
              <w:rFonts w:ascii="Times New Roman" w:eastAsia="Times New Roman" w:hAnsi="Times New Roman" w:cs="Times New Roman"/>
              <w:sz w:val="24"/>
              <w:szCs w:val="24"/>
            </w:rPr>
            <w:instrText xml:space="preserve"> CITATION RGAA \l 1033 </w:instrText>
          </w:r>
          <w:r w:rsidR="00E7772D">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E7772D">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indica un procedimiento uniforme para los tres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ya que pertenecen al mismo ramo de seguro y cuentan con la misma cantidad de observaciones. </w:t>
      </w:r>
      <w:r w:rsidR="00A640BE" w:rsidRPr="00EA4C1F">
        <w:rPr>
          <w:rFonts w:ascii="Times New Roman" w:eastAsia="Times New Roman" w:hAnsi="Times New Roman" w:cs="Times New Roman"/>
          <w:sz w:val="24"/>
          <w:szCs w:val="24"/>
        </w:rPr>
        <w:t>Adicionalmente, teniendo</w:t>
      </w:r>
      <w:r w:rsidRPr="00EA4C1F">
        <w:rPr>
          <w:rFonts w:ascii="Times New Roman" w:eastAsia="Times New Roman" w:hAnsi="Times New Roman" w:cs="Times New Roman"/>
          <w:sz w:val="24"/>
          <w:szCs w:val="24"/>
        </w:rPr>
        <w:t xml:space="preserve"> en cuenta el supuesto de estabilidad y la ausencia de siniestros excepcionales, se </w:t>
      </w:r>
      <w:r w:rsidR="00E7772D">
        <w:rPr>
          <w:rFonts w:ascii="Times New Roman" w:eastAsia="Times New Roman" w:hAnsi="Times New Roman" w:cs="Times New Roman"/>
          <w:sz w:val="24"/>
          <w:szCs w:val="24"/>
        </w:rPr>
        <w:t>tomó</w:t>
      </w:r>
      <w:r w:rsidRPr="00EA4C1F">
        <w:rPr>
          <w:rFonts w:ascii="Times New Roman" w:eastAsia="Times New Roman" w:hAnsi="Times New Roman" w:cs="Times New Roman"/>
          <w:sz w:val="24"/>
          <w:szCs w:val="24"/>
        </w:rPr>
        <w:t xml:space="preserve"> la totalidad de los siniestros en la base de datos. Para homogeneizar montos a una misma unidad de medida, se utilizó el índice FACPCE al 30/6/2024, asumiendo que los siniestros tienen fecha media de ocurrencia a mitad del periodo, es decir, a principios de año. Agrupando por Año observado y periodo del ajuste, se confecciona un triángulo de ajuste FACPCE, calculado según indica la metodología</w:t>
      </w:r>
      <w:r w:rsidR="00E7772D">
        <w:rPr>
          <w:rFonts w:ascii="Times New Roman" w:eastAsia="Times New Roman" w:hAnsi="Times New Roman" w:cs="Times New Roman"/>
          <w:sz w:val="24"/>
          <w:szCs w:val="24"/>
        </w:rPr>
        <w:t>.</w:t>
      </w:r>
      <w:r w:rsidR="009C6DD8" w:rsidRPr="009C6DD8">
        <w:rPr>
          <w:rFonts w:ascii="Times New Roman" w:eastAsia="Times New Roman" w:hAnsi="Times New Roman" w:cs="Times New Roman"/>
          <w:noProof/>
          <w:sz w:val="24"/>
          <w:szCs w:val="24"/>
        </w:rPr>
        <w:t xml:space="preserve"> </w:t>
      </w:r>
      <w:r w:rsidR="009C6DD8" w:rsidRPr="009C6DD8">
        <w:rPr>
          <w:noProof/>
        </w:rPr>
        <w:drawing>
          <wp:inline distT="0" distB="0" distL="0" distR="0" wp14:anchorId="5967F105" wp14:editId="52AE87CF">
            <wp:extent cx="4572000" cy="1127014"/>
            <wp:effectExtent l="0" t="0" r="0" b="0"/>
            <wp:docPr id="131606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5422" cy="1130323"/>
                    </a:xfrm>
                    <a:prstGeom prst="rect">
                      <a:avLst/>
                    </a:prstGeom>
                    <a:noFill/>
                    <a:ln>
                      <a:noFill/>
                    </a:ln>
                  </pic:spPr>
                </pic:pic>
              </a:graphicData>
            </a:graphic>
          </wp:inline>
        </w:drawing>
      </w:r>
    </w:p>
    <w:p w14:paraId="0000012D" w14:textId="0958183D" w:rsidR="00E6009A" w:rsidRPr="00EA4C1F" w:rsidRDefault="009C6DD8" w:rsidP="009C6DD8">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6</w:t>
        </w:r>
      </w:fldSimple>
      <w:r>
        <w:t>: Factores de actualización FACPCE</w:t>
      </w:r>
    </w:p>
    <w:p w14:paraId="4676B17C" w14:textId="77777777" w:rsidR="009C6DD8" w:rsidRDefault="00000000" w:rsidP="00271F77">
      <w:pPr>
        <w:keepNext/>
        <w:spacing w:after="0" w:line="480" w:lineRule="auto"/>
        <w:jc w:val="both"/>
      </w:pPr>
      <w:r w:rsidRPr="00EA4C1F">
        <w:rPr>
          <w:rFonts w:ascii="Times New Roman" w:eastAsia="Times New Roman" w:hAnsi="Times New Roman" w:cs="Times New Roman"/>
          <w:sz w:val="24"/>
          <w:szCs w:val="24"/>
        </w:rPr>
        <w:t xml:space="preserve">Posteriormente, los registros de siniestros se agregaron por Año de Ocurrencia y Período de Desarrollo, obteniendo el triángulo incremental de siniestros incurridos. Cada celda de este triángulo incremental se actualizó multiplicándola por el factor de ajuste FACPCE correspondiente, dando lugar a un triángulo incremental actualizado, que luego se acumuló para </w:t>
      </w:r>
      <w:r w:rsidRPr="00EA4C1F">
        <w:rPr>
          <w:rFonts w:ascii="Times New Roman" w:eastAsia="Times New Roman" w:hAnsi="Times New Roman" w:cs="Times New Roman"/>
          <w:sz w:val="24"/>
          <w:szCs w:val="24"/>
        </w:rPr>
        <w:lastRenderedPageBreak/>
        <w:t>construir el triángulo acumulado utilizado como base de cálculo</w:t>
      </w:r>
      <w:r w:rsidR="00E7772D" w:rsidRPr="00E7772D">
        <w:rPr>
          <w:rFonts w:ascii="Times New Roman" w:eastAsia="Times New Roman" w:hAnsi="Times New Roman" w:cs="Times New Roman"/>
          <w:noProof/>
          <w:sz w:val="24"/>
          <w:szCs w:val="24"/>
        </w:rPr>
        <w:t xml:space="preserve"> </w:t>
      </w:r>
      <w:r w:rsidR="00E7772D" w:rsidRPr="00E7772D">
        <w:rPr>
          <w:noProof/>
        </w:rPr>
        <w:drawing>
          <wp:inline distT="0" distB="0" distL="0" distR="0" wp14:anchorId="028FA24C" wp14:editId="4B2F91A9">
            <wp:extent cx="5943600" cy="1078865"/>
            <wp:effectExtent l="0" t="0" r="0" b="6985"/>
            <wp:docPr id="909339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78865"/>
                    </a:xfrm>
                    <a:prstGeom prst="rect">
                      <a:avLst/>
                    </a:prstGeom>
                    <a:noFill/>
                    <a:ln>
                      <a:noFill/>
                    </a:ln>
                  </pic:spPr>
                </pic:pic>
              </a:graphicData>
            </a:graphic>
          </wp:inline>
        </w:drawing>
      </w:r>
    </w:p>
    <w:p w14:paraId="0000012E" w14:textId="0F3FFBDA" w:rsidR="00E6009A" w:rsidRPr="00EA4C1F" w:rsidRDefault="009C6DD8" w:rsidP="009C6DD8">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7</w:t>
        </w:r>
      </w:fldSimple>
      <w:r>
        <w:t>:Triangulo de siniestros acumulados de RC daño a cosas al 30/6/2024. En miles de millones</w:t>
      </w:r>
    </w:p>
    <w:p w14:paraId="0000012F"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Sobre dicho triángulo se estimaron los Factores de FDI y los FDA, incorporando un factor de cola de 1.05 correspondiente a la naturaleza de cola larga del ramo y la información de seis años.</w:t>
      </w:r>
    </w:p>
    <w:p w14:paraId="65DF3E4E" w14:textId="77777777" w:rsidR="009C6DD8" w:rsidRDefault="009C6DD8" w:rsidP="009C6DD8">
      <w:pPr>
        <w:keepNext/>
        <w:spacing w:after="0" w:line="480" w:lineRule="auto"/>
        <w:jc w:val="both"/>
      </w:pPr>
      <w:r w:rsidRPr="009C6DD8">
        <w:rPr>
          <w:noProof/>
        </w:rPr>
        <w:drawing>
          <wp:inline distT="0" distB="0" distL="0" distR="0" wp14:anchorId="7A281029" wp14:editId="1DBA52D7">
            <wp:extent cx="4438494" cy="714375"/>
            <wp:effectExtent l="0" t="0" r="635" b="0"/>
            <wp:docPr id="1195932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2366" cy="714998"/>
                    </a:xfrm>
                    <a:prstGeom prst="rect">
                      <a:avLst/>
                    </a:prstGeom>
                    <a:noFill/>
                    <a:ln>
                      <a:noFill/>
                    </a:ln>
                  </pic:spPr>
                </pic:pic>
              </a:graphicData>
            </a:graphic>
          </wp:inline>
        </w:drawing>
      </w:r>
    </w:p>
    <w:p w14:paraId="00000130" w14:textId="2B914A28" w:rsidR="00E6009A" w:rsidRPr="00EA4C1F" w:rsidRDefault="009C6DD8" w:rsidP="009C6DD8">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8</w:t>
        </w:r>
      </w:fldSimple>
      <w:r>
        <w:t>: Factores de desarrollo de RC daños a cosas</w:t>
      </w:r>
    </w:p>
    <w:p w14:paraId="00000131"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Finalmente, los FDA se aplicaron sobre la última diagonal disponible del triángulo acumulado, obteniendo los Siniestros Ultimate y, por diferencia, el IBNR por Año de Ocurrencia</w:t>
      </w:r>
    </w:p>
    <w:p w14:paraId="43649C5A" w14:textId="77777777" w:rsidR="00D468D8" w:rsidRDefault="00D468D8" w:rsidP="00D468D8">
      <w:pPr>
        <w:keepNext/>
        <w:spacing w:after="0" w:line="480" w:lineRule="auto"/>
        <w:jc w:val="both"/>
      </w:pPr>
      <w:r w:rsidRPr="00D468D8">
        <w:rPr>
          <w:noProof/>
        </w:rPr>
        <w:drawing>
          <wp:inline distT="0" distB="0" distL="0" distR="0" wp14:anchorId="1E6F25FF" wp14:editId="2034DB00">
            <wp:extent cx="4219575" cy="1343025"/>
            <wp:effectExtent l="0" t="0" r="9525" b="9525"/>
            <wp:docPr id="74171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9575" cy="1343025"/>
                    </a:xfrm>
                    <a:prstGeom prst="rect">
                      <a:avLst/>
                    </a:prstGeom>
                    <a:noFill/>
                    <a:ln>
                      <a:noFill/>
                    </a:ln>
                  </pic:spPr>
                </pic:pic>
              </a:graphicData>
            </a:graphic>
          </wp:inline>
        </w:drawing>
      </w:r>
    </w:p>
    <w:p w14:paraId="00000132" w14:textId="76C9CD63" w:rsidR="00E6009A" w:rsidRPr="00EA4C1F" w:rsidRDefault="00D468D8" w:rsidP="00D468D8">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9</w:t>
        </w:r>
      </w:fldSimple>
      <w:r>
        <w:t>: IBNR para RC daños a cosas. En miles de millones</w:t>
      </w:r>
    </w:p>
    <w:p w14:paraId="00000133"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el periodo analizado, no se observaron instancias de IBNR negativo, por lo que, la reserva total por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se determinó como la suma de los IBNR estimados por año.</w:t>
      </w:r>
    </w:p>
    <w:p w14:paraId="00000134"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Aplicando el mismo esquema para los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restantes, se obtienen los siguientes resultados:</w:t>
      </w:r>
    </w:p>
    <w:p w14:paraId="73792F5A" w14:textId="77777777" w:rsidR="00271F77" w:rsidRDefault="00271F77" w:rsidP="00271F77">
      <w:pPr>
        <w:keepNext/>
        <w:spacing w:after="0" w:line="480" w:lineRule="auto"/>
        <w:jc w:val="both"/>
      </w:pPr>
      <w:r>
        <w:rPr>
          <w:noProof/>
        </w:rPr>
        <w:lastRenderedPageBreak/>
        <w:drawing>
          <wp:inline distT="0" distB="0" distL="0" distR="0" wp14:anchorId="44495830" wp14:editId="57AB6AA5">
            <wp:extent cx="4610100" cy="909707"/>
            <wp:effectExtent l="0" t="0" r="0" b="5080"/>
            <wp:docPr id="10867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1007" name=""/>
                    <pic:cNvPicPr/>
                  </pic:nvPicPr>
                  <pic:blipFill>
                    <a:blip r:embed="rId24"/>
                    <a:stretch>
                      <a:fillRect/>
                    </a:stretch>
                  </pic:blipFill>
                  <pic:spPr>
                    <a:xfrm>
                      <a:off x="0" y="0"/>
                      <a:ext cx="4627525" cy="913145"/>
                    </a:xfrm>
                    <a:prstGeom prst="rect">
                      <a:avLst/>
                    </a:prstGeom>
                  </pic:spPr>
                </pic:pic>
              </a:graphicData>
            </a:graphic>
          </wp:inline>
        </w:drawing>
      </w:r>
    </w:p>
    <w:p w14:paraId="00000135" w14:textId="4559D7E5" w:rsidR="00E6009A" w:rsidRPr="00EA4C1F" w:rsidRDefault="00271F77" w:rsidP="00271F77">
      <w:pPr>
        <w:pStyle w:val="Caption"/>
        <w:jc w:val="both"/>
        <w:rPr>
          <w:rFonts w:ascii="Times New Roman" w:eastAsia="Times New Roman" w:hAnsi="Times New Roman" w:cs="Times New Roman"/>
        </w:rPr>
      </w:pPr>
      <w:r>
        <w:t xml:space="preserve">Tabla </w:t>
      </w:r>
      <w:fldSimple w:instr=" SEQ Tabla \* ARABIC ">
        <w:r w:rsidR="000E27CD">
          <w:rPr>
            <w:noProof/>
          </w:rPr>
          <w:t>10</w:t>
        </w:r>
      </w:fldSimple>
      <w:r>
        <w:t xml:space="preserve">: Resultados de IBNR por </w:t>
      </w:r>
      <w:proofErr w:type="spellStart"/>
      <w:r>
        <w:t>sub-ramos</w:t>
      </w:r>
      <w:proofErr w:type="spellEnd"/>
    </w:p>
    <w:p w14:paraId="00000136" w14:textId="77777777" w:rsidR="00E6009A" w:rsidRPr="00EA4C1F" w:rsidRDefault="00E6009A" w:rsidP="00EA4C1F">
      <w:pPr>
        <w:spacing w:line="480" w:lineRule="auto"/>
        <w:jc w:val="both"/>
        <w:rPr>
          <w:rFonts w:ascii="Times New Roman" w:eastAsia="Times New Roman" w:hAnsi="Times New Roman" w:cs="Times New Roman"/>
        </w:rPr>
      </w:pPr>
    </w:p>
    <w:p w14:paraId="00000137" w14:textId="77777777" w:rsidR="00E6009A" w:rsidRPr="00EA4C1F" w:rsidRDefault="00000000" w:rsidP="00EA4C1F">
      <w:pPr>
        <w:pStyle w:val="Heading2"/>
        <w:numPr>
          <w:ilvl w:val="1"/>
          <w:numId w:val="3"/>
        </w:numPr>
        <w:spacing w:line="480" w:lineRule="auto"/>
        <w:jc w:val="both"/>
        <w:rPr>
          <w:rFonts w:ascii="Times New Roman" w:eastAsia="Times New Roman" w:hAnsi="Times New Roman" w:cs="Times New Roman"/>
        </w:rPr>
      </w:pPr>
      <w:bookmarkStart w:id="34" w:name="_Toc221446755"/>
      <w:r w:rsidRPr="00EA4C1F">
        <w:rPr>
          <w:rFonts w:ascii="Times New Roman" w:eastAsia="Times New Roman" w:hAnsi="Times New Roman" w:cs="Times New Roman"/>
        </w:rPr>
        <w:t>Medición compatible con IFRS 17</w:t>
      </w:r>
      <w:bookmarkEnd w:id="34"/>
    </w:p>
    <w:p w14:paraId="00000138" w14:textId="496A609F"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Bajo el marco de IFRS 17</w:t>
      </w:r>
      <w:sdt>
        <w:sdtPr>
          <w:rPr>
            <w:rFonts w:ascii="Times New Roman" w:eastAsia="Times New Roman" w:hAnsi="Times New Roman" w:cs="Times New Roman"/>
            <w:sz w:val="24"/>
            <w:szCs w:val="24"/>
          </w:rPr>
          <w:id w:val="-1148430760"/>
          <w:citation/>
        </w:sdtPr>
        <w:sdtContent>
          <w:r w:rsidR="00271F77">
            <w:rPr>
              <w:rFonts w:ascii="Times New Roman" w:eastAsia="Times New Roman" w:hAnsi="Times New Roman" w:cs="Times New Roman"/>
              <w:sz w:val="24"/>
              <w:szCs w:val="24"/>
            </w:rPr>
            <w:fldChar w:fldCharType="begin"/>
          </w:r>
          <w:r w:rsidR="00271F77" w:rsidRPr="00271F77">
            <w:rPr>
              <w:rFonts w:ascii="Times New Roman" w:eastAsia="Times New Roman" w:hAnsi="Times New Roman" w:cs="Times New Roman"/>
              <w:sz w:val="24"/>
              <w:szCs w:val="24"/>
            </w:rPr>
            <w:instrText xml:space="preserve"> CITATION IFRS17 \l 1033 </w:instrText>
          </w:r>
          <w:r w:rsidR="00271F77">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271F77">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se eligió utilizar el Building Block </w:t>
      </w:r>
      <w:proofErr w:type="spellStart"/>
      <w:r w:rsidRPr="00EA4C1F">
        <w:rPr>
          <w:rFonts w:ascii="Times New Roman" w:eastAsia="Times New Roman" w:hAnsi="Times New Roman" w:cs="Times New Roman"/>
          <w:sz w:val="24"/>
          <w:szCs w:val="24"/>
        </w:rPr>
        <w:t>Approach</w:t>
      </w:r>
      <w:proofErr w:type="spellEnd"/>
      <w:r w:rsidRPr="00EA4C1F">
        <w:rPr>
          <w:rFonts w:ascii="Times New Roman" w:eastAsia="Times New Roman" w:hAnsi="Times New Roman" w:cs="Times New Roman"/>
          <w:sz w:val="24"/>
          <w:szCs w:val="24"/>
        </w:rPr>
        <w:t xml:space="preserve"> (BBA) por lo que se subdividió el cálculo en 3 componentes: Mejor estimado de </w:t>
      </w:r>
      <w:r w:rsidR="00271F77">
        <w:rPr>
          <w:rFonts w:ascii="Times New Roman" w:eastAsia="Times New Roman" w:hAnsi="Times New Roman" w:cs="Times New Roman"/>
          <w:sz w:val="24"/>
          <w:szCs w:val="24"/>
        </w:rPr>
        <w:t>siniestros</w:t>
      </w:r>
      <w:r w:rsidRPr="00EA4C1F">
        <w:rPr>
          <w:rFonts w:ascii="Times New Roman" w:eastAsia="Times New Roman" w:hAnsi="Times New Roman" w:cs="Times New Roman"/>
          <w:sz w:val="24"/>
          <w:szCs w:val="24"/>
        </w:rPr>
        <w:t>, Factor de descuento y Ajuste de riesgo no financiero. A diferencia del enfoque regulatorio, IFRS 17</w:t>
      </w:r>
      <w:sdt>
        <w:sdtPr>
          <w:rPr>
            <w:rFonts w:ascii="Times New Roman" w:eastAsia="Times New Roman" w:hAnsi="Times New Roman" w:cs="Times New Roman"/>
            <w:sz w:val="24"/>
            <w:szCs w:val="24"/>
          </w:rPr>
          <w:id w:val="1996304299"/>
          <w:citation/>
        </w:sdtPr>
        <w:sdtContent>
          <w:r w:rsidR="00271F77">
            <w:rPr>
              <w:rFonts w:ascii="Times New Roman" w:eastAsia="Times New Roman" w:hAnsi="Times New Roman" w:cs="Times New Roman"/>
              <w:sz w:val="24"/>
              <w:szCs w:val="24"/>
            </w:rPr>
            <w:fldChar w:fldCharType="begin"/>
          </w:r>
          <w:r w:rsidR="00271F77" w:rsidRPr="00271F77">
            <w:rPr>
              <w:rFonts w:ascii="Times New Roman" w:eastAsia="Times New Roman" w:hAnsi="Times New Roman" w:cs="Times New Roman"/>
              <w:sz w:val="24"/>
              <w:szCs w:val="24"/>
            </w:rPr>
            <w:instrText xml:space="preserve"> CITATION IFRS17 \l 1033 </w:instrText>
          </w:r>
          <w:r w:rsidR="00271F77">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271F77">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requiere que la estimación refleje, en forma explícita, supuestos actualizados y coherentes con información disponible al cierre.</w:t>
      </w:r>
    </w:p>
    <w:p w14:paraId="00000139" w14:textId="77777777" w:rsidR="00E6009A" w:rsidRPr="00EA4C1F" w:rsidRDefault="00000000" w:rsidP="00EA4C1F">
      <w:pPr>
        <w:pStyle w:val="Heading3"/>
        <w:numPr>
          <w:ilvl w:val="2"/>
          <w:numId w:val="3"/>
        </w:numPr>
        <w:spacing w:line="480" w:lineRule="auto"/>
        <w:ind w:hanging="360"/>
        <w:jc w:val="both"/>
        <w:rPr>
          <w:rFonts w:ascii="Times New Roman" w:eastAsia="Times New Roman" w:hAnsi="Times New Roman" w:cs="Times New Roman"/>
        </w:rPr>
      </w:pPr>
      <w:bookmarkStart w:id="35" w:name="_Toc221446756"/>
      <w:r w:rsidRPr="00EA4C1F">
        <w:rPr>
          <w:rFonts w:ascii="Times New Roman" w:eastAsia="Times New Roman" w:hAnsi="Times New Roman" w:cs="Times New Roman"/>
        </w:rPr>
        <w:t>Estimación de Siniestros</w:t>
      </w:r>
      <w:bookmarkEnd w:id="35"/>
    </w:p>
    <w:p w14:paraId="0000013B" w14:textId="50C8B4DC"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La estimación de los siniestros </w:t>
      </w:r>
      <w:proofErr w:type="spellStart"/>
      <w:r w:rsidRPr="00EA4C1F">
        <w:rPr>
          <w:rFonts w:ascii="Times New Roman" w:eastAsia="Times New Roman" w:hAnsi="Times New Roman" w:cs="Times New Roman"/>
          <w:sz w:val="24"/>
          <w:szCs w:val="24"/>
        </w:rPr>
        <w:t>ultimate</w:t>
      </w:r>
      <w:proofErr w:type="spellEnd"/>
      <w:r w:rsidRPr="00EA4C1F">
        <w:rPr>
          <w:rFonts w:ascii="Times New Roman" w:eastAsia="Times New Roman" w:hAnsi="Times New Roman" w:cs="Times New Roman"/>
          <w:sz w:val="24"/>
          <w:szCs w:val="24"/>
        </w:rPr>
        <w:t xml:space="preserve"> y, por diferencia, del IBNR se realizó mediante la metodología Chain Ladder, complementada con un análisis específico de extrapolación de cola para cada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Como primer paso, se aplicó el mismo ajuste por inflación utilizado en la medición bajo RGAA, con el objetivo de expresar los importes en una unidad homogénea y reducir distorsiones. Debido a esto, los triángulos de siniestros acumulados para esta metodología y la de RGAA son iguales</w:t>
      </w:r>
      <w:r w:rsidR="00271F77">
        <w:rPr>
          <w:rFonts w:ascii="Times New Roman" w:eastAsia="Times New Roman" w:hAnsi="Times New Roman" w:cs="Times New Roman"/>
          <w:sz w:val="24"/>
          <w:szCs w:val="24"/>
        </w:rPr>
        <w:t xml:space="preserve"> a los de la Tabla 7</w:t>
      </w:r>
      <w:r w:rsidRPr="00EA4C1F">
        <w:rPr>
          <w:rFonts w:ascii="Times New Roman" w:eastAsia="Times New Roman" w:hAnsi="Times New Roman" w:cs="Times New Roman"/>
          <w:sz w:val="24"/>
          <w:szCs w:val="24"/>
        </w:rPr>
        <w:t xml:space="preserve">. </w:t>
      </w:r>
    </w:p>
    <w:p w14:paraId="0000013C" w14:textId="6C67FDEE" w:rsidR="00E6009A" w:rsidRPr="00EA4C1F" w:rsidRDefault="00000000" w:rsidP="00EA4C1F">
      <w:pPr>
        <w:spacing w:line="480" w:lineRule="auto"/>
        <w:jc w:val="both"/>
        <w:rPr>
          <w:rFonts w:ascii="Times New Roman" w:eastAsia="Times New Roman" w:hAnsi="Times New Roman" w:cs="Times New Roman"/>
        </w:rPr>
      </w:pPr>
      <w:r w:rsidRPr="00EA4C1F">
        <w:rPr>
          <w:rFonts w:ascii="Times New Roman" w:eastAsia="Times New Roman" w:hAnsi="Times New Roman" w:cs="Times New Roman"/>
          <w:sz w:val="24"/>
          <w:szCs w:val="24"/>
        </w:rPr>
        <w:t xml:space="preserve">A partir del triángulo acumulado se calcularon los FDI, obteniendo el patrón de desarrollo implícito por período. En línea con el enfoque actuarial estándar, los FDI se estimaron a partir de promedios ponderados por volumen, y se revisó su estabilidad entre períodos para evitar </w:t>
      </w:r>
      <w:r w:rsidRPr="00EA4C1F">
        <w:rPr>
          <w:rFonts w:ascii="Times New Roman" w:eastAsia="Times New Roman" w:hAnsi="Times New Roman" w:cs="Times New Roman"/>
          <w:sz w:val="24"/>
          <w:szCs w:val="24"/>
        </w:rPr>
        <w:lastRenderedPageBreak/>
        <w:t xml:space="preserve">observaciones anómalas sesguen la proyección. Para extrapolar y </w:t>
      </w:r>
      <w:r w:rsidR="00397729" w:rsidRPr="00EA4C1F">
        <w:rPr>
          <w:rFonts w:ascii="Times New Roman" w:eastAsia="Times New Roman" w:hAnsi="Times New Roman" w:cs="Times New Roman"/>
          <w:sz w:val="24"/>
          <w:szCs w:val="24"/>
        </w:rPr>
        <w:t>suavizar</w:t>
      </w:r>
      <w:r w:rsidRPr="00EA4C1F">
        <w:rPr>
          <w:rFonts w:ascii="Times New Roman" w:eastAsia="Times New Roman" w:hAnsi="Times New Roman" w:cs="Times New Roman"/>
          <w:sz w:val="24"/>
          <w:szCs w:val="24"/>
        </w:rPr>
        <w:t xml:space="preserve"> la cola, se ajustó la serie de factores a una función d</w:t>
      </w:r>
      <w:r w:rsidR="00271F77">
        <w:rPr>
          <w:rFonts w:ascii="Times New Roman" w:eastAsia="Times New Roman" w:hAnsi="Times New Roman" w:cs="Times New Roman"/>
          <w:sz w:val="24"/>
          <w:szCs w:val="24"/>
        </w:rPr>
        <w:t>e</w:t>
      </w:r>
      <w:r w:rsidRPr="00EA4C1F">
        <w:rPr>
          <w:rFonts w:ascii="Times New Roman" w:eastAsia="Times New Roman" w:hAnsi="Times New Roman" w:cs="Times New Roman"/>
          <w:sz w:val="24"/>
          <w:szCs w:val="24"/>
        </w:rPr>
        <w:t xml:space="preserve"> potencia inversa</w:t>
      </w:r>
      <w:sdt>
        <w:sdtPr>
          <w:rPr>
            <w:rFonts w:ascii="Times New Roman" w:eastAsia="Times New Roman" w:hAnsi="Times New Roman" w:cs="Times New Roman"/>
            <w:sz w:val="24"/>
            <w:szCs w:val="24"/>
          </w:rPr>
          <w:id w:val="-506285772"/>
          <w:citation/>
        </w:sdtPr>
        <w:sdtContent>
          <w:r w:rsidR="00271F77">
            <w:rPr>
              <w:rFonts w:ascii="Times New Roman" w:eastAsia="Times New Roman" w:hAnsi="Times New Roman" w:cs="Times New Roman"/>
              <w:sz w:val="24"/>
              <w:szCs w:val="24"/>
            </w:rPr>
            <w:fldChar w:fldCharType="begin"/>
          </w:r>
          <w:r w:rsidR="00271F77" w:rsidRPr="00271F77">
            <w:rPr>
              <w:rFonts w:ascii="Times New Roman" w:eastAsia="Times New Roman" w:hAnsi="Times New Roman" w:cs="Times New Roman"/>
              <w:sz w:val="24"/>
              <w:szCs w:val="24"/>
            </w:rPr>
            <w:instrText xml:space="preserve"> CITATION RIC99 \l 1033 </w:instrText>
          </w:r>
          <w:r w:rsidR="00271F77">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(SHERMAN, 1999)</w:t>
          </w:r>
          <w:r w:rsidR="00271F77">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que permite representar una convergencia gradual hacia el desarrollo completo a medida que aumenta la antigüedad.</w:t>
      </w:r>
    </w:p>
    <w:p w14:paraId="58A36F34" w14:textId="77777777" w:rsidR="00271F77" w:rsidRDefault="00271F77" w:rsidP="00271F77">
      <w:pPr>
        <w:keepNext/>
        <w:spacing w:after="0" w:line="480" w:lineRule="auto"/>
        <w:jc w:val="both"/>
      </w:pPr>
      <w:r w:rsidRPr="00271F77">
        <w:rPr>
          <w:noProof/>
        </w:rPr>
        <w:t xml:space="preserve"> </w:t>
      </w:r>
      <w:r>
        <w:rPr>
          <w:noProof/>
        </w:rPr>
        <w:drawing>
          <wp:inline distT="0" distB="0" distL="0" distR="0" wp14:anchorId="28F9A7EC" wp14:editId="0CABE486">
            <wp:extent cx="4476750" cy="2857500"/>
            <wp:effectExtent l="0" t="0" r="0" b="0"/>
            <wp:docPr id="461733695" name="Chart 1">
              <a:extLst xmlns:a="http://schemas.openxmlformats.org/drawingml/2006/main">
                <a:ext uri="{FF2B5EF4-FFF2-40B4-BE49-F238E27FC236}">
                  <a16:creationId xmlns:a16="http://schemas.microsoft.com/office/drawing/2014/main" id="{6B60D2D6-C216-D336-22CA-B54458994E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00013D" w14:textId="291AB923" w:rsidR="00E6009A" w:rsidRPr="00EA4C1F" w:rsidRDefault="00271F77" w:rsidP="00271F77">
      <w:pPr>
        <w:pStyle w:val="Caption"/>
        <w:jc w:val="both"/>
        <w:rPr>
          <w:rFonts w:ascii="Times New Roman" w:eastAsia="Times New Roman" w:hAnsi="Times New Roman" w:cs="Times New Roman"/>
        </w:rPr>
      </w:pPr>
      <w:r>
        <w:t xml:space="preserve">Ilustración </w:t>
      </w:r>
      <w:fldSimple w:instr=" SEQ Ilustración \* ARABIC ">
        <w:r w:rsidR="00F13250">
          <w:rPr>
            <w:noProof/>
          </w:rPr>
          <w:t>1</w:t>
        </w:r>
      </w:fldSimple>
      <w:r>
        <w:t xml:space="preserve">: Extrapolación de </w:t>
      </w:r>
      <w:proofErr w:type="spellStart"/>
      <w:r>
        <w:t>FDIs</w:t>
      </w:r>
      <w:proofErr w:type="spellEnd"/>
      <w:r>
        <w:t xml:space="preserve"> para RC daños a cosas</w:t>
      </w:r>
    </w:p>
    <w:p w14:paraId="0000013E" w14:textId="77777777" w:rsidR="00E6009A" w:rsidRPr="00EA4C1F" w:rsidRDefault="00000000" w:rsidP="00EA4C1F">
      <w:pPr>
        <w:spacing w:line="480" w:lineRule="auto"/>
        <w:jc w:val="both"/>
        <w:rPr>
          <w:rFonts w:ascii="Times New Roman" w:eastAsia="Times New Roman" w:hAnsi="Times New Roman" w:cs="Times New Roman"/>
        </w:rPr>
      </w:pPr>
      <w:r w:rsidRPr="00EA4C1F">
        <w:rPr>
          <w:rFonts w:ascii="Times New Roman" w:eastAsia="Times New Roman" w:hAnsi="Times New Roman" w:cs="Times New Roman"/>
        </w:rPr>
        <w:t>Finalmente, se calcularon los FDA teniendo en cuenta los nuevos factores estimados y se proyecta el triángulo, completando así, cada desarrollo faltante por año de ocurrencia. La matriz resultante constituye la base del cálculo en el próximo bloque.</w:t>
      </w:r>
    </w:p>
    <w:p w14:paraId="5B5C3379" w14:textId="77777777" w:rsidR="00397729" w:rsidRDefault="00397729" w:rsidP="00397729">
      <w:pPr>
        <w:keepNext/>
        <w:spacing w:after="0" w:line="480" w:lineRule="auto"/>
        <w:jc w:val="both"/>
      </w:pPr>
      <w:r w:rsidRPr="00397729">
        <w:rPr>
          <w:noProof/>
        </w:rPr>
        <w:drawing>
          <wp:inline distT="0" distB="0" distL="0" distR="0" wp14:anchorId="68D7FF30" wp14:editId="5D3A6AF6">
            <wp:extent cx="5943600" cy="979170"/>
            <wp:effectExtent l="0" t="0" r="0" b="0"/>
            <wp:docPr id="1135446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79170"/>
                    </a:xfrm>
                    <a:prstGeom prst="rect">
                      <a:avLst/>
                    </a:prstGeom>
                    <a:noFill/>
                    <a:ln>
                      <a:noFill/>
                    </a:ln>
                  </pic:spPr>
                </pic:pic>
              </a:graphicData>
            </a:graphic>
          </wp:inline>
        </w:drawing>
      </w:r>
    </w:p>
    <w:p w14:paraId="0000013F" w14:textId="258299B4" w:rsidR="00E6009A" w:rsidRPr="00EA4C1F" w:rsidRDefault="00397729" w:rsidP="00397729">
      <w:pPr>
        <w:pStyle w:val="Caption"/>
        <w:jc w:val="both"/>
        <w:rPr>
          <w:rFonts w:ascii="Times New Roman" w:eastAsia="Times New Roman" w:hAnsi="Times New Roman" w:cs="Times New Roman"/>
        </w:rPr>
      </w:pPr>
      <w:r>
        <w:t xml:space="preserve">Tabla </w:t>
      </w:r>
      <w:fldSimple w:instr=" SEQ Tabla \* ARABIC ">
        <w:r w:rsidR="000E27CD">
          <w:rPr>
            <w:noProof/>
          </w:rPr>
          <w:t>11</w:t>
        </w:r>
      </w:fldSimple>
      <w:r>
        <w:t>: Triangulo de siniestros acumulados completado de RC daños a cosas. En miles de millones</w:t>
      </w:r>
    </w:p>
    <w:p w14:paraId="00000140" w14:textId="77777777" w:rsidR="00E6009A" w:rsidRPr="00EA4C1F" w:rsidRDefault="00000000" w:rsidP="00EA4C1F">
      <w:pPr>
        <w:spacing w:line="480" w:lineRule="auto"/>
        <w:jc w:val="both"/>
        <w:rPr>
          <w:rFonts w:ascii="Times New Roman" w:eastAsia="Times New Roman" w:hAnsi="Times New Roman" w:cs="Times New Roman"/>
        </w:rPr>
      </w:pPr>
      <w:r w:rsidRPr="00EA4C1F">
        <w:rPr>
          <w:rFonts w:ascii="Times New Roman" w:eastAsia="Times New Roman" w:hAnsi="Times New Roman" w:cs="Times New Roman"/>
        </w:rPr>
        <w:t>Con el fin de tener una base de comparación, se presenta a continuación el IBNR estimado base hasta este punto:</w:t>
      </w:r>
    </w:p>
    <w:p w14:paraId="1CD9302E" w14:textId="77777777" w:rsidR="00397729" w:rsidRDefault="00397729" w:rsidP="001A57E5">
      <w:pPr>
        <w:keepNext/>
        <w:spacing w:after="0" w:line="480" w:lineRule="auto"/>
        <w:jc w:val="both"/>
      </w:pPr>
      <w:r w:rsidRPr="00397729">
        <w:rPr>
          <w:noProof/>
        </w:rPr>
        <w:lastRenderedPageBreak/>
        <w:t xml:space="preserve"> </w:t>
      </w:r>
      <w:r>
        <w:rPr>
          <w:noProof/>
        </w:rPr>
        <w:drawing>
          <wp:inline distT="0" distB="0" distL="0" distR="0" wp14:anchorId="1403F1F8" wp14:editId="22B7FB9B">
            <wp:extent cx="3856828" cy="827405"/>
            <wp:effectExtent l="0" t="0" r="0" b="0"/>
            <wp:docPr id="16456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1751" name=""/>
                    <pic:cNvPicPr/>
                  </pic:nvPicPr>
                  <pic:blipFill>
                    <a:blip r:embed="rId27"/>
                    <a:stretch>
                      <a:fillRect/>
                    </a:stretch>
                  </pic:blipFill>
                  <pic:spPr>
                    <a:xfrm>
                      <a:off x="0" y="0"/>
                      <a:ext cx="3863757" cy="828891"/>
                    </a:xfrm>
                    <a:prstGeom prst="rect">
                      <a:avLst/>
                    </a:prstGeom>
                  </pic:spPr>
                </pic:pic>
              </a:graphicData>
            </a:graphic>
          </wp:inline>
        </w:drawing>
      </w:r>
    </w:p>
    <w:p w14:paraId="00000141" w14:textId="1EC79D7E" w:rsidR="00E6009A" w:rsidRPr="00EA4C1F" w:rsidRDefault="00397729" w:rsidP="00397729">
      <w:pPr>
        <w:pStyle w:val="Caption"/>
        <w:jc w:val="both"/>
        <w:rPr>
          <w:rFonts w:ascii="Times New Roman" w:eastAsia="Times New Roman" w:hAnsi="Times New Roman" w:cs="Times New Roman"/>
        </w:rPr>
      </w:pPr>
      <w:r>
        <w:t xml:space="preserve">Tabla </w:t>
      </w:r>
      <w:fldSimple w:instr=" SEQ Tabla \* ARABIC ">
        <w:r w:rsidR="000E27CD">
          <w:rPr>
            <w:noProof/>
          </w:rPr>
          <w:t>12</w:t>
        </w:r>
      </w:fldSimple>
      <w:r>
        <w:t xml:space="preserve">: Estimado de siniestros (IBNR) por </w:t>
      </w:r>
      <w:proofErr w:type="spellStart"/>
      <w:r>
        <w:t>sub-ramo</w:t>
      </w:r>
      <w:proofErr w:type="spellEnd"/>
      <w:r>
        <w:t>. En miles de millones.</w:t>
      </w:r>
    </w:p>
    <w:p w14:paraId="00000142" w14:textId="77777777" w:rsidR="00E6009A" w:rsidRPr="00EA4C1F" w:rsidRDefault="00000000" w:rsidP="00EA4C1F">
      <w:pPr>
        <w:pStyle w:val="Heading3"/>
        <w:numPr>
          <w:ilvl w:val="2"/>
          <w:numId w:val="3"/>
        </w:numPr>
        <w:spacing w:line="480" w:lineRule="auto"/>
        <w:ind w:hanging="360"/>
        <w:jc w:val="both"/>
        <w:rPr>
          <w:rFonts w:ascii="Times New Roman" w:eastAsia="Times New Roman" w:hAnsi="Times New Roman" w:cs="Times New Roman"/>
        </w:rPr>
      </w:pPr>
      <w:bookmarkStart w:id="36" w:name="_Toc221446757"/>
      <w:r w:rsidRPr="00EA4C1F">
        <w:rPr>
          <w:rFonts w:ascii="Times New Roman" w:eastAsia="Times New Roman" w:hAnsi="Times New Roman" w:cs="Times New Roman"/>
        </w:rPr>
        <w:t>Factor de Descuento</w:t>
      </w:r>
      <w:bookmarkEnd w:id="36"/>
    </w:p>
    <w:p w14:paraId="00000143" w14:textId="6ABB479D"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línea con IFRS 17</w:t>
      </w:r>
      <w:sdt>
        <w:sdtPr>
          <w:rPr>
            <w:rFonts w:ascii="Times New Roman" w:eastAsia="Times New Roman" w:hAnsi="Times New Roman" w:cs="Times New Roman"/>
            <w:sz w:val="24"/>
            <w:szCs w:val="24"/>
          </w:rPr>
          <w:id w:val="-544608209"/>
          <w:citation/>
        </w:sdtPr>
        <w:sdtContent>
          <w:r w:rsidR="001A57E5">
            <w:rPr>
              <w:rFonts w:ascii="Times New Roman" w:eastAsia="Times New Roman" w:hAnsi="Times New Roman" w:cs="Times New Roman"/>
              <w:sz w:val="24"/>
              <w:szCs w:val="24"/>
            </w:rPr>
            <w:fldChar w:fldCharType="begin"/>
          </w:r>
          <w:r w:rsidR="001A57E5" w:rsidRPr="001A57E5">
            <w:rPr>
              <w:rFonts w:ascii="Times New Roman" w:eastAsia="Times New Roman" w:hAnsi="Times New Roman" w:cs="Times New Roman"/>
              <w:sz w:val="24"/>
              <w:szCs w:val="24"/>
            </w:rPr>
            <w:instrText xml:space="preserve"> CITATION IFRS17 \l 1033 </w:instrText>
          </w:r>
          <w:r w:rsidR="001A57E5">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1A57E5">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se adoptó un enfoque top-</w:t>
      </w:r>
      <w:proofErr w:type="spellStart"/>
      <w:r w:rsidRPr="00EA4C1F">
        <w:rPr>
          <w:rFonts w:ascii="Times New Roman" w:eastAsia="Times New Roman" w:hAnsi="Times New Roman" w:cs="Times New Roman"/>
          <w:sz w:val="24"/>
          <w:szCs w:val="24"/>
        </w:rPr>
        <w:t>down</w:t>
      </w:r>
      <w:proofErr w:type="spellEnd"/>
      <w:r w:rsidRPr="00EA4C1F">
        <w:rPr>
          <w:rFonts w:ascii="Times New Roman" w:eastAsia="Times New Roman" w:hAnsi="Times New Roman" w:cs="Times New Roman"/>
          <w:sz w:val="24"/>
          <w:szCs w:val="24"/>
        </w:rPr>
        <w:t>, partiendo de una curva observable</w:t>
      </w:r>
      <w:r w:rsidR="001A57E5">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 xml:space="preserve"> inferida desde instrumentos de mercado y depurando los componentes de los precios que no corresponden al pasivo a medir, como el riesgo de crédito. Dado que los flujos del pasivo están sujetos a la inflación futura, se confeccionó una cartera de 15 bonos ajustados por el índice CER</w:t>
      </w:r>
      <w:r w:rsidR="001A57E5">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manteniendo así, la consistencia entre la unidad de medida de los cash </w:t>
      </w:r>
      <w:proofErr w:type="spellStart"/>
      <w:r w:rsidRPr="00EA4C1F">
        <w:rPr>
          <w:rFonts w:ascii="Times New Roman" w:eastAsia="Times New Roman" w:hAnsi="Times New Roman" w:cs="Times New Roman"/>
          <w:sz w:val="24"/>
          <w:szCs w:val="24"/>
        </w:rPr>
        <w:t>flows</w:t>
      </w:r>
      <w:proofErr w:type="spellEnd"/>
      <w:r w:rsidRPr="00EA4C1F">
        <w:rPr>
          <w:rFonts w:ascii="Times New Roman" w:eastAsia="Times New Roman" w:hAnsi="Times New Roman" w:cs="Times New Roman"/>
          <w:sz w:val="24"/>
          <w:szCs w:val="24"/>
        </w:rPr>
        <w:t xml:space="preserve"> y la curva de descuento.</w:t>
      </w:r>
    </w:p>
    <w:p w14:paraId="50B20406" w14:textId="77777777" w:rsidR="001A57E5" w:rsidRDefault="00000000" w:rsidP="001A57E5">
      <w:pPr>
        <w:keepNext/>
        <w:spacing w:after="0" w:line="480" w:lineRule="auto"/>
        <w:jc w:val="both"/>
      </w:pPr>
      <w:r w:rsidRPr="00EA4C1F">
        <w:rPr>
          <w:rFonts w:ascii="Times New Roman" w:eastAsia="Times New Roman" w:hAnsi="Times New Roman" w:cs="Times New Roman"/>
          <w:noProof/>
          <w:sz w:val="24"/>
          <w:szCs w:val="24"/>
        </w:rPr>
        <w:drawing>
          <wp:inline distT="114300" distB="114300" distL="114300" distR="114300" wp14:anchorId="59851DAC" wp14:editId="62D02AAC">
            <wp:extent cx="1818901" cy="2495351"/>
            <wp:effectExtent l="0" t="0" r="0" b="0"/>
            <wp:docPr id="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1818901" cy="2495351"/>
                    </a:xfrm>
                    <a:prstGeom prst="rect">
                      <a:avLst/>
                    </a:prstGeom>
                    <a:ln/>
                  </pic:spPr>
                </pic:pic>
              </a:graphicData>
            </a:graphic>
          </wp:inline>
        </w:drawing>
      </w:r>
    </w:p>
    <w:p w14:paraId="00000144" w14:textId="6D08EEFA" w:rsidR="00E6009A" w:rsidRPr="00EA4C1F" w:rsidRDefault="001A57E5" w:rsidP="001A57E5">
      <w:pPr>
        <w:pStyle w:val="Caption"/>
        <w:jc w:val="both"/>
        <w:rPr>
          <w:rFonts w:ascii="Times New Roman" w:eastAsia="Times New Roman" w:hAnsi="Times New Roman" w:cs="Times New Roman"/>
          <w:sz w:val="24"/>
          <w:szCs w:val="24"/>
        </w:rPr>
      </w:pPr>
      <w:r>
        <w:t xml:space="preserve">Tabla </w:t>
      </w:r>
      <w:fldSimple w:instr=" SEQ Tabla \* ARABIC ">
        <w:r w:rsidR="000E27CD">
          <w:rPr>
            <w:noProof/>
          </w:rPr>
          <w:t>13</w:t>
        </w:r>
      </w:fldSimple>
      <w:r>
        <w:t>: Cartera de referencia por método Top Down</w:t>
      </w:r>
    </w:p>
    <w:p w14:paraId="00000145" w14:textId="3AF8136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Luego, con el objetivo de excluir el riesgo de crédito de los bonos soberanos, se estimó un ajuste de crédito mediante </w:t>
      </w:r>
      <w:r w:rsidR="001A57E5">
        <w:rPr>
          <w:rFonts w:ascii="Times New Roman" w:eastAsia="Times New Roman" w:hAnsi="Times New Roman" w:cs="Times New Roman"/>
          <w:sz w:val="24"/>
          <w:szCs w:val="24"/>
        </w:rPr>
        <w:t>el</w:t>
      </w:r>
      <w:r w:rsidRPr="00EA4C1F">
        <w:rPr>
          <w:rFonts w:ascii="Times New Roman" w:eastAsia="Times New Roman" w:hAnsi="Times New Roman" w:cs="Times New Roman"/>
          <w:sz w:val="24"/>
          <w:szCs w:val="24"/>
        </w:rPr>
        <w:t xml:space="preserve"> proxy de probabilidad de default </w:t>
      </w:r>
      <w:r w:rsidR="001A57E5">
        <w:rPr>
          <w:rFonts w:ascii="Times New Roman" w:eastAsia="Times New Roman" w:hAnsi="Times New Roman" w:cs="Times New Roman"/>
          <w:sz w:val="24"/>
          <w:szCs w:val="24"/>
        </w:rPr>
        <w:t>mencionado en el “Marco Metodológico”</w:t>
      </w:r>
      <w:r w:rsidRPr="00EA4C1F">
        <w:rPr>
          <w:rFonts w:ascii="Times New Roman" w:eastAsia="Times New Roman" w:hAnsi="Times New Roman" w:cs="Times New Roman"/>
          <w:sz w:val="24"/>
          <w:szCs w:val="24"/>
        </w:rPr>
        <w:t xml:space="preserve"> y una LGD de 60%. Interpolando y extrapolando los valores de PD, se llegó a la siguiente curva:</w:t>
      </w:r>
    </w:p>
    <w:p w14:paraId="032DA632" w14:textId="77777777" w:rsidR="001A57E5" w:rsidRDefault="00000000" w:rsidP="001A57E5">
      <w:pPr>
        <w:keepNext/>
        <w:spacing w:after="0" w:line="480" w:lineRule="auto"/>
        <w:jc w:val="both"/>
      </w:pPr>
      <w:r w:rsidRPr="00EA4C1F">
        <w:rPr>
          <w:rFonts w:ascii="Times New Roman" w:eastAsia="Times New Roman" w:hAnsi="Times New Roman" w:cs="Times New Roman"/>
          <w:noProof/>
        </w:rPr>
        <w:lastRenderedPageBreak/>
        <w:drawing>
          <wp:inline distT="114300" distB="114300" distL="114300" distR="114300" wp14:anchorId="6701E47F" wp14:editId="4EA7B813">
            <wp:extent cx="4062413" cy="2437448"/>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062413" cy="2437448"/>
                    </a:xfrm>
                    <a:prstGeom prst="rect">
                      <a:avLst/>
                    </a:prstGeom>
                    <a:ln/>
                  </pic:spPr>
                </pic:pic>
              </a:graphicData>
            </a:graphic>
          </wp:inline>
        </w:drawing>
      </w:r>
    </w:p>
    <w:p w14:paraId="00000146" w14:textId="26FF90B4" w:rsidR="00E6009A" w:rsidRPr="00EA4C1F" w:rsidRDefault="001A57E5" w:rsidP="001A57E5">
      <w:pPr>
        <w:pStyle w:val="Caption"/>
        <w:jc w:val="both"/>
        <w:rPr>
          <w:rFonts w:ascii="Times New Roman" w:eastAsia="Times New Roman" w:hAnsi="Times New Roman" w:cs="Times New Roman"/>
        </w:rPr>
      </w:pPr>
      <w:r>
        <w:t xml:space="preserve">Ilustración </w:t>
      </w:r>
      <w:fldSimple w:instr=" SEQ Ilustración \* ARABIC ">
        <w:r w:rsidR="00F13250">
          <w:rPr>
            <w:noProof/>
          </w:rPr>
          <w:t>2</w:t>
        </w:r>
      </w:fldSimple>
      <w:r>
        <w:t>: Curva de Probabilidades de default para bonos soberanos</w:t>
      </w:r>
    </w:p>
    <w:p w14:paraId="663A2A2E" w14:textId="32590A62" w:rsidR="001A57E5"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A partir de la estructura temporal de PD y el supuesto de LGD, se derivaron flujos esperados para los instrumentos y se calibró una curva de tasas cero mediante la parametrización de Nelson</w:t>
      </w:r>
      <w:r w:rsidR="001A57E5">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Siegel</w:t>
      </w:r>
      <w:sdt>
        <w:sdtPr>
          <w:rPr>
            <w:rFonts w:ascii="Times New Roman" w:eastAsia="Times New Roman" w:hAnsi="Times New Roman" w:cs="Times New Roman"/>
            <w:sz w:val="24"/>
            <w:szCs w:val="24"/>
          </w:rPr>
          <w:id w:val="-429357251"/>
          <w:citation/>
        </w:sdtPr>
        <w:sdtContent>
          <w:r w:rsidR="001A57E5">
            <w:rPr>
              <w:rFonts w:ascii="Times New Roman" w:eastAsia="Times New Roman" w:hAnsi="Times New Roman" w:cs="Times New Roman"/>
              <w:sz w:val="24"/>
              <w:szCs w:val="24"/>
            </w:rPr>
            <w:fldChar w:fldCharType="begin"/>
          </w:r>
          <w:r w:rsidR="001A57E5" w:rsidRPr="001A57E5">
            <w:rPr>
              <w:rFonts w:ascii="Times New Roman" w:eastAsia="Times New Roman" w:hAnsi="Times New Roman" w:cs="Times New Roman"/>
              <w:sz w:val="24"/>
              <w:szCs w:val="24"/>
            </w:rPr>
            <w:instrText xml:space="preserve"> CITATION Cha87 \l 1033 </w:instrText>
          </w:r>
          <w:r w:rsidR="001A57E5">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(Nelson &amp; Siegel, 1987)</w:t>
          </w:r>
          <w:r w:rsidR="001A57E5">
            <w:rPr>
              <w:rFonts w:ascii="Times New Roman" w:eastAsia="Times New Roman" w:hAnsi="Times New Roman" w:cs="Times New Roman"/>
              <w:sz w:val="24"/>
              <w:szCs w:val="24"/>
            </w:rPr>
            <w:fldChar w:fldCharType="end"/>
          </w:r>
        </w:sdtContent>
      </w:sdt>
      <w:r w:rsidR="001A57E5">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minimizando errores de precio. </w:t>
      </w:r>
    </w:p>
    <w:p w14:paraId="29773A38" w14:textId="77777777" w:rsidR="001A57E5" w:rsidRDefault="00000000" w:rsidP="001A57E5">
      <w:pPr>
        <w:keepNext/>
        <w:spacing w:line="480" w:lineRule="auto"/>
        <w:jc w:val="both"/>
      </w:pPr>
      <w:r w:rsidRPr="00EA4C1F">
        <w:rPr>
          <w:rFonts w:ascii="Times New Roman" w:eastAsia="Times New Roman" w:hAnsi="Times New Roman" w:cs="Times New Roman"/>
          <w:sz w:val="24"/>
          <w:szCs w:val="24"/>
        </w:rPr>
        <w:t xml:space="preserve"> </w:t>
      </w:r>
      <w:r w:rsidRPr="00EA4C1F">
        <w:rPr>
          <w:rFonts w:ascii="Times New Roman" w:eastAsia="Times New Roman" w:hAnsi="Times New Roman" w:cs="Times New Roman"/>
          <w:noProof/>
          <w:sz w:val="24"/>
          <w:szCs w:val="24"/>
        </w:rPr>
        <w:drawing>
          <wp:inline distT="114300" distB="114300" distL="114300" distR="114300" wp14:anchorId="134D85E0" wp14:editId="2015951B">
            <wp:extent cx="3608960" cy="2168846"/>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3608960" cy="2168846"/>
                    </a:xfrm>
                    <a:prstGeom prst="rect">
                      <a:avLst/>
                    </a:prstGeom>
                    <a:ln/>
                  </pic:spPr>
                </pic:pic>
              </a:graphicData>
            </a:graphic>
          </wp:inline>
        </w:drawing>
      </w:r>
    </w:p>
    <w:p w14:paraId="00000147" w14:textId="609AFF30" w:rsidR="00E6009A" w:rsidRPr="00EA4C1F" w:rsidRDefault="001A57E5" w:rsidP="001A57E5">
      <w:pPr>
        <w:pStyle w:val="Caption"/>
        <w:jc w:val="both"/>
        <w:rPr>
          <w:rFonts w:ascii="Times New Roman" w:eastAsia="Times New Roman" w:hAnsi="Times New Roman" w:cs="Times New Roman"/>
          <w:sz w:val="24"/>
          <w:szCs w:val="24"/>
        </w:rPr>
      </w:pPr>
      <w:r>
        <w:t xml:space="preserve">Ilustración </w:t>
      </w:r>
      <w:fldSimple w:instr=" SEQ Ilustración \* ARABIC ">
        <w:r w:rsidR="00F13250">
          <w:rPr>
            <w:noProof/>
          </w:rPr>
          <w:t>3</w:t>
        </w:r>
      </w:fldSimple>
      <w:r>
        <w:t>: Comparación entre curvas de rendimientos parametrizadas</w:t>
      </w:r>
    </w:p>
    <w:p w14:paraId="00000148" w14:textId="61333291"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Se observa </w:t>
      </w:r>
      <w:r w:rsidR="001A57E5" w:rsidRPr="00EA4C1F">
        <w:rPr>
          <w:rFonts w:ascii="Times New Roman" w:eastAsia="Times New Roman" w:hAnsi="Times New Roman" w:cs="Times New Roman"/>
          <w:sz w:val="24"/>
          <w:szCs w:val="24"/>
        </w:rPr>
        <w:t>que,</w:t>
      </w:r>
      <w:r w:rsidRPr="00EA4C1F">
        <w:rPr>
          <w:rFonts w:ascii="Times New Roman" w:eastAsia="Times New Roman" w:hAnsi="Times New Roman" w:cs="Times New Roman"/>
          <w:sz w:val="24"/>
          <w:szCs w:val="24"/>
        </w:rPr>
        <w:t xml:space="preserve"> en el corto plazo, la curva depurada de riesgo de crédito presenta tasas cero negativas. Esto es consistente con un soberano de perfil crediticio CCC, dado que el riesgo de default se concentra en los primeros años. Bajo los supuestos de PD/LGD, el valor esperado de los cobros contractuales o del recuperó puede ser menor al monto invertido en el corto plazo, haciendo </w:t>
      </w:r>
      <w:r w:rsidRPr="00EA4C1F">
        <w:rPr>
          <w:rFonts w:ascii="Times New Roman" w:eastAsia="Times New Roman" w:hAnsi="Times New Roman" w:cs="Times New Roman"/>
          <w:sz w:val="24"/>
          <w:szCs w:val="24"/>
        </w:rPr>
        <w:lastRenderedPageBreak/>
        <w:t>que la prima por riesgo de crédito tenga un gran peso en el precio. Al depurar dicho componente, la tasa implícita puede alcanzar valores negativos al inicio, pero a medida que el crecimiento marginal de la PD se reduce, las tasas convergen gradualmente a valores positivos.</w:t>
      </w:r>
    </w:p>
    <w:p w14:paraId="0000014A" w14:textId="3D402441"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Una vez obtenida la curva de tasas libres de riesgo, se reordena el triángulo de siniestros incurridos según la metodología y se aplica la tasa correspondiente a cada celda, partiendo del año 2024. Por </w:t>
      </w:r>
      <w:r w:rsidR="001A57E5" w:rsidRPr="00EA4C1F">
        <w:rPr>
          <w:rFonts w:ascii="Times New Roman" w:eastAsia="Times New Roman" w:hAnsi="Times New Roman" w:cs="Times New Roman"/>
          <w:sz w:val="24"/>
          <w:szCs w:val="24"/>
        </w:rPr>
        <w:t>último,</w:t>
      </w:r>
      <w:r w:rsidRPr="00EA4C1F">
        <w:rPr>
          <w:rFonts w:ascii="Times New Roman" w:eastAsia="Times New Roman" w:hAnsi="Times New Roman" w:cs="Times New Roman"/>
          <w:sz w:val="24"/>
          <w:szCs w:val="24"/>
        </w:rPr>
        <w:t xml:space="preserve"> se agrega por columna, obteniendo así, el valor presente del flujo de sinestro del seguro.</w:t>
      </w:r>
    </w:p>
    <w:p w14:paraId="0000014B" w14:textId="0334966C"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El resultado obtenido en comparación con el segmento anterior es el siguiente para cada </w:t>
      </w:r>
      <w:proofErr w:type="spellStart"/>
      <w:r w:rsidRPr="00EA4C1F">
        <w:rPr>
          <w:rFonts w:ascii="Times New Roman" w:eastAsia="Times New Roman" w:hAnsi="Times New Roman" w:cs="Times New Roman"/>
          <w:sz w:val="24"/>
          <w:szCs w:val="24"/>
        </w:rPr>
        <w:t>sub</w:t>
      </w:r>
      <w:r w:rsidR="004820D9">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ramo</w:t>
      </w:r>
      <w:proofErr w:type="spellEnd"/>
      <w:r w:rsidRPr="00EA4C1F">
        <w:rPr>
          <w:rFonts w:ascii="Times New Roman" w:eastAsia="Times New Roman" w:hAnsi="Times New Roman" w:cs="Times New Roman"/>
          <w:sz w:val="24"/>
          <w:szCs w:val="24"/>
        </w:rPr>
        <w:t>:</w:t>
      </w:r>
    </w:p>
    <w:p w14:paraId="2EA47948" w14:textId="77777777" w:rsidR="004820D9" w:rsidRDefault="004820D9" w:rsidP="004820D9">
      <w:pPr>
        <w:keepNext/>
        <w:jc w:val="both"/>
      </w:pPr>
      <w:r>
        <w:rPr>
          <w:noProof/>
        </w:rPr>
        <w:drawing>
          <wp:inline distT="0" distB="0" distL="0" distR="0" wp14:anchorId="7773F491" wp14:editId="49F18FF8">
            <wp:extent cx="5943600" cy="587375"/>
            <wp:effectExtent l="0" t="0" r="0" b="3175"/>
            <wp:docPr id="143469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91737" name=""/>
                    <pic:cNvPicPr/>
                  </pic:nvPicPr>
                  <pic:blipFill>
                    <a:blip r:embed="rId31"/>
                    <a:stretch>
                      <a:fillRect/>
                    </a:stretch>
                  </pic:blipFill>
                  <pic:spPr>
                    <a:xfrm>
                      <a:off x="0" y="0"/>
                      <a:ext cx="5943600" cy="587375"/>
                    </a:xfrm>
                    <a:prstGeom prst="rect">
                      <a:avLst/>
                    </a:prstGeom>
                  </pic:spPr>
                </pic:pic>
              </a:graphicData>
            </a:graphic>
          </wp:inline>
        </w:drawing>
      </w:r>
    </w:p>
    <w:p w14:paraId="0000014C" w14:textId="1B3D6999" w:rsidR="00E6009A" w:rsidRPr="00EA4C1F" w:rsidRDefault="004820D9" w:rsidP="004820D9">
      <w:pPr>
        <w:pStyle w:val="Caption"/>
        <w:jc w:val="both"/>
        <w:rPr>
          <w:rFonts w:ascii="Times New Roman" w:hAnsi="Times New Roman" w:cs="Times New Roman"/>
        </w:rPr>
      </w:pPr>
      <w:r>
        <w:t xml:space="preserve">Tabla </w:t>
      </w:r>
      <w:fldSimple w:instr=" SEQ Tabla \* ARABIC ">
        <w:r w:rsidR="000E27CD">
          <w:rPr>
            <w:noProof/>
          </w:rPr>
          <w:t>14</w:t>
        </w:r>
      </w:fldSimple>
      <w:r>
        <w:t>: Impacto de la tasa de descuento en el estimado de siniestros por IFRS 17. En miles de millones</w:t>
      </w:r>
    </w:p>
    <w:p w14:paraId="0000014D" w14:textId="77777777" w:rsidR="00E6009A" w:rsidRPr="00EA4C1F" w:rsidRDefault="00000000" w:rsidP="00EA4C1F">
      <w:pPr>
        <w:pStyle w:val="Heading3"/>
        <w:numPr>
          <w:ilvl w:val="2"/>
          <w:numId w:val="3"/>
        </w:numPr>
        <w:ind w:hanging="360"/>
        <w:jc w:val="both"/>
        <w:rPr>
          <w:rFonts w:ascii="Times New Roman" w:hAnsi="Times New Roman" w:cs="Times New Roman"/>
        </w:rPr>
      </w:pPr>
      <w:bookmarkStart w:id="37" w:name="_Toc221446758"/>
      <w:r w:rsidRPr="00EA4C1F">
        <w:rPr>
          <w:rFonts w:ascii="Times New Roman" w:hAnsi="Times New Roman" w:cs="Times New Roman"/>
        </w:rPr>
        <w:t>Ajuste de riesgo No Financiero</w:t>
      </w:r>
      <w:bookmarkEnd w:id="37"/>
    </w:p>
    <w:p w14:paraId="0000014E" w14:textId="77777777" w:rsidR="00E6009A" w:rsidRPr="00EA4C1F" w:rsidRDefault="00E6009A" w:rsidP="00EA4C1F">
      <w:pPr>
        <w:jc w:val="both"/>
        <w:rPr>
          <w:rFonts w:ascii="Times New Roman" w:hAnsi="Times New Roman" w:cs="Times New Roman"/>
        </w:rPr>
      </w:pPr>
    </w:p>
    <w:p w14:paraId="00000150" w14:textId="3647F1A1"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El Ajuste de Riesgo No Financiero se estimó como la compensación requerida por la incertidumbre inherente a los flujos futuros del seguro. Se construyó una distribución empírica del valor presente de los flujos mediante el método de </w:t>
      </w:r>
      <w:proofErr w:type="spellStart"/>
      <w:r w:rsidRPr="00EA4C1F">
        <w:rPr>
          <w:rFonts w:ascii="Times New Roman" w:eastAsia="Times New Roman" w:hAnsi="Times New Roman" w:cs="Times New Roman"/>
          <w:sz w:val="24"/>
          <w:szCs w:val="24"/>
        </w:rPr>
        <w:t>remuestreo</w:t>
      </w:r>
      <w:proofErr w:type="spellEnd"/>
      <w:sdt>
        <w:sdtPr>
          <w:rPr>
            <w:rFonts w:ascii="Times New Roman" w:eastAsia="Times New Roman" w:hAnsi="Times New Roman" w:cs="Times New Roman"/>
            <w:sz w:val="24"/>
            <w:szCs w:val="24"/>
          </w:rPr>
          <w:id w:val="-1512218983"/>
          <w:citation/>
        </w:sdtPr>
        <w:sdtContent>
          <w:r w:rsidR="00F13250">
            <w:rPr>
              <w:rFonts w:ascii="Times New Roman" w:eastAsia="Times New Roman" w:hAnsi="Times New Roman" w:cs="Times New Roman"/>
              <w:sz w:val="24"/>
              <w:szCs w:val="24"/>
            </w:rPr>
            <w:fldChar w:fldCharType="begin"/>
          </w:r>
          <w:r w:rsidR="00F13250" w:rsidRPr="00F13250">
            <w:rPr>
              <w:rFonts w:ascii="Times New Roman" w:eastAsia="Times New Roman" w:hAnsi="Times New Roman" w:cs="Times New Roman"/>
              <w:sz w:val="24"/>
              <w:szCs w:val="24"/>
            </w:rPr>
            <w:instrText xml:space="preserve"> CITATION Ver02 \l 1033 </w:instrText>
          </w:r>
          <w:r w:rsidR="00F13250">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(Verrall, 2002)</w:t>
          </w:r>
          <w:r w:rsidR="00F13250">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explicado en el </w:t>
      </w:r>
      <w:r w:rsidR="00F13250">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Marco Metodológico</w:t>
      </w:r>
      <w:r w:rsidR="00F13250">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 xml:space="preserve">, simulando así, 200.000 instancias de flujos futuros descontados. A partir de dichas simulaciones, se armó una distribución por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y se analiz</w:t>
      </w:r>
      <w:r w:rsidR="00F13250">
        <w:rPr>
          <w:rFonts w:ascii="Times New Roman" w:eastAsia="Times New Roman" w:hAnsi="Times New Roman" w:cs="Times New Roman"/>
          <w:sz w:val="24"/>
          <w:szCs w:val="24"/>
        </w:rPr>
        <w:t>ó</w:t>
      </w:r>
      <w:r w:rsidRPr="00EA4C1F">
        <w:rPr>
          <w:rFonts w:ascii="Times New Roman" w:eastAsia="Times New Roman" w:hAnsi="Times New Roman" w:cs="Times New Roman"/>
          <w:sz w:val="24"/>
          <w:szCs w:val="24"/>
        </w:rPr>
        <w:t xml:space="preserve"> distintos niveles de confianza para las medidas de riesgo VaR y </w:t>
      </w:r>
      <w:proofErr w:type="spellStart"/>
      <w:r w:rsidRPr="00EA4C1F">
        <w:rPr>
          <w:rFonts w:ascii="Times New Roman" w:eastAsia="Times New Roman" w:hAnsi="Times New Roman" w:cs="Times New Roman"/>
          <w:sz w:val="24"/>
          <w:szCs w:val="24"/>
        </w:rPr>
        <w:t>TVaR</w:t>
      </w:r>
      <w:proofErr w:type="spellEnd"/>
      <w:r w:rsidRPr="00EA4C1F">
        <w:rPr>
          <w:rFonts w:ascii="Times New Roman" w:eastAsia="Times New Roman" w:hAnsi="Times New Roman" w:cs="Times New Roman"/>
          <w:sz w:val="24"/>
          <w:szCs w:val="24"/>
        </w:rPr>
        <w:t xml:space="preserve">. Para los tres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se decidió utilizar el </w:t>
      </w:r>
      <w:proofErr w:type="spellStart"/>
      <w:r w:rsidRPr="00EA4C1F">
        <w:rPr>
          <w:rFonts w:ascii="Times New Roman" w:eastAsia="Times New Roman" w:hAnsi="Times New Roman" w:cs="Times New Roman"/>
          <w:sz w:val="24"/>
          <w:szCs w:val="24"/>
        </w:rPr>
        <w:t>TVaR</w:t>
      </w:r>
      <w:proofErr w:type="spellEnd"/>
      <w:r w:rsidRPr="00EA4C1F">
        <w:rPr>
          <w:rFonts w:ascii="Times New Roman" w:eastAsia="Times New Roman" w:hAnsi="Times New Roman" w:cs="Times New Roman"/>
          <w:sz w:val="24"/>
          <w:szCs w:val="24"/>
        </w:rPr>
        <w:t xml:space="preserve"> como medida de riesgo y el percentil 70 como nivel de confianza para el cálculo ya que presentan distribuciones asimétricas con cola pesada hacia la derecha. Con esta elección, se busca un equilibrio entre capturar un margen de riesgo de las colas y preservar estabilidad en la estimación, evitando la sensibilidad a eventos extremos asociada a percentiles superiores.</w:t>
      </w:r>
    </w:p>
    <w:p w14:paraId="5AD51C76" w14:textId="77777777" w:rsidR="00F13250" w:rsidRDefault="00F13250" w:rsidP="00F13250">
      <w:pPr>
        <w:keepNext/>
        <w:spacing w:before="240" w:after="0" w:line="480" w:lineRule="auto"/>
        <w:jc w:val="both"/>
      </w:pPr>
      <w:r w:rsidRPr="00F13250">
        <w:rPr>
          <w:rFonts w:ascii="Times New Roman" w:eastAsia="Times New Roman" w:hAnsi="Times New Roman" w:cs="Times New Roman"/>
          <w:noProof/>
          <w:sz w:val="24"/>
          <w:szCs w:val="24"/>
        </w:rPr>
        <w:lastRenderedPageBreak/>
        <w:drawing>
          <wp:inline distT="0" distB="0" distL="0" distR="0" wp14:anchorId="4E394639" wp14:editId="10244797">
            <wp:extent cx="4198056" cy="3048000"/>
            <wp:effectExtent l="0" t="0" r="0" b="0"/>
            <wp:docPr id="33022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24445" name=""/>
                    <pic:cNvPicPr/>
                  </pic:nvPicPr>
                  <pic:blipFill>
                    <a:blip r:embed="rId32"/>
                    <a:stretch>
                      <a:fillRect/>
                    </a:stretch>
                  </pic:blipFill>
                  <pic:spPr>
                    <a:xfrm>
                      <a:off x="0" y="0"/>
                      <a:ext cx="4204177" cy="3052444"/>
                    </a:xfrm>
                    <a:prstGeom prst="rect">
                      <a:avLst/>
                    </a:prstGeom>
                  </pic:spPr>
                </pic:pic>
              </a:graphicData>
            </a:graphic>
          </wp:inline>
        </w:drawing>
      </w:r>
    </w:p>
    <w:p w14:paraId="00000151" w14:textId="4C0342BF" w:rsidR="00E6009A" w:rsidRPr="00EA4C1F" w:rsidRDefault="00F13250" w:rsidP="00F13250">
      <w:pPr>
        <w:pStyle w:val="Caption"/>
        <w:jc w:val="both"/>
        <w:rPr>
          <w:rFonts w:ascii="Times New Roman" w:eastAsia="Times New Roman" w:hAnsi="Times New Roman" w:cs="Times New Roman"/>
          <w:sz w:val="24"/>
          <w:szCs w:val="24"/>
        </w:rPr>
      </w:pPr>
      <w:r>
        <w:t xml:space="preserve">Ilustración </w:t>
      </w:r>
      <w:fldSimple w:instr=" SEQ Ilustración \* ARABIC ">
        <w:r>
          <w:rPr>
            <w:noProof/>
          </w:rPr>
          <w:t>4</w:t>
        </w:r>
      </w:fldSimple>
      <w:r>
        <w:t xml:space="preserve">: Distribución </w:t>
      </w:r>
      <w:proofErr w:type="spellStart"/>
      <w:r>
        <w:t>empirica</w:t>
      </w:r>
      <w:proofErr w:type="spellEnd"/>
      <w:r>
        <w:t xml:space="preserve"> de RC daño a cosas. En miles de millones</w:t>
      </w:r>
    </w:p>
    <w:p w14:paraId="00000152" w14:textId="3C2F9A99"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Finalmente, se estimó el Ajuste por Riesgo No Financiero y el pasivo bajo IFRS 17. Este último se determinó como la suma de la estimación del pasivo descontado y dicho ajuste, obteniéndose así la estimación total compatible con IFRS 17</w:t>
      </w:r>
      <w:sdt>
        <w:sdtPr>
          <w:rPr>
            <w:rFonts w:ascii="Times New Roman" w:eastAsia="Times New Roman" w:hAnsi="Times New Roman" w:cs="Times New Roman"/>
            <w:sz w:val="24"/>
            <w:szCs w:val="24"/>
          </w:rPr>
          <w:id w:val="-642278567"/>
          <w:citation/>
        </w:sdtPr>
        <w:sdtContent>
          <w:r w:rsidR="00F13250">
            <w:rPr>
              <w:rFonts w:ascii="Times New Roman" w:eastAsia="Times New Roman" w:hAnsi="Times New Roman" w:cs="Times New Roman"/>
              <w:sz w:val="24"/>
              <w:szCs w:val="24"/>
            </w:rPr>
            <w:fldChar w:fldCharType="begin"/>
          </w:r>
          <w:r w:rsidR="00F13250" w:rsidRPr="00F13250">
            <w:rPr>
              <w:rFonts w:ascii="Times New Roman" w:eastAsia="Times New Roman" w:hAnsi="Times New Roman" w:cs="Times New Roman"/>
              <w:sz w:val="24"/>
              <w:szCs w:val="24"/>
            </w:rPr>
            <w:instrText xml:space="preserve"> CITATION IFRS17 \l 1033 </w:instrText>
          </w:r>
          <w:r w:rsidR="00F13250">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F13250">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para cada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w:t>
      </w:r>
    </w:p>
    <w:p w14:paraId="5ABA5553" w14:textId="77777777" w:rsidR="000E27CD" w:rsidRDefault="000E27CD" w:rsidP="000E27CD">
      <w:pPr>
        <w:keepNext/>
        <w:spacing w:after="0"/>
        <w:jc w:val="both"/>
      </w:pPr>
      <w:r>
        <w:rPr>
          <w:noProof/>
        </w:rPr>
        <w:drawing>
          <wp:inline distT="0" distB="0" distL="0" distR="0" wp14:anchorId="3B66834D" wp14:editId="09EAFA30">
            <wp:extent cx="5943600" cy="568960"/>
            <wp:effectExtent l="0" t="0" r="0" b="2540"/>
            <wp:docPr id="134946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65088" name=""/>
                    <pic:cNvPicPr/>
                  </pic:nvPicPr>
                  <pic:blipFill>
                    <a:blip r:embed="rId33"/>
                    <a:stretch>
                      <a:fillRect/>
                    </a:stretch>
                  </pic:blipFill>
                  <pic:spPr>
                    <a:xfrm>
                      <a:off x="0" y="0"/>
                      <a:ext cx="5943600" cy="568960"/>
                    </a:xfrm>
                    <a:prstGeom prst="rect">
                      <a:avLst/>
                    </a:prstGeom>
                  </pic:spPr>
                </pic:pic>
              </a:graphicData>
            </a:graphic>
          </wp:inline>
        </w:drawing>
      </w:r>
    </w:p>
    <w:p w14:paraId="00000153" w14:textId="1C2A408F" w:rsidR="00E6009A" w:rsidRPr="00EA4C1F" w:rsidRDefault="000E27CD" w:rsidP="000E27CD">
      <w:pPr>
        <w:pStyle w:val="Caption"/>
        <w:jc w:val="both"/>
        <w:rPr>
          <w:rFonts w:ascii="Times New Roman" w:hAnsi="Times New Roman" w:cs="Times New Roman"/>
        </w:rPr>
      </w:pPr>
      <w:r>
        <w:t xml:space="preserve">Tabla </w:t>
      </w:r>
      <w:fldSimple w:instr=" SEQ Tabla \* ARABIC ">
        <w:r>
          <w:rPr>
            <w:noProof/>
          </w:rPr>
          <w:t>15</w:t>
        </w:r>
      </w:fldSimple>
      <w:r>
        <w:t xml:space="preserve">: Ajuste de Riesgo No Financiero por </w:t>
      </w:r>
      <w:proofErr w:type="spellStart"/>
      <w:r>
        <w:t>sub-ramo</w:t>
      </w:r>
      <w:proofErr w:type="spellEnd"/>
    </w:p>
    <w:p w14:paraId="00000154" w14:textId="77777777" w:rsidR="00E6009A" w:rsidRPr="00EA4C1F" w:rsidRDefault="00000000" w:rsidP="00EA4C1F">
      <w:pPr>
        <w:pStyle w:val="Heading2"/>
        <w:numPr>
          <w:ilvl w:val="1"/>
          <w:numId w:val="3"/>
        </w:numPr>
        <w:jc w:val="both"/>
        <w:rPr>
          <w:rFonts w:ascii="Times New Roman" w:hAnsi="Times New Roman" w:cs="Times New Roman"/>
        </w:rPr>
      </w:pPr>
      <w:bookmarkStart w:id="38" w:name="_Toc221446759"/>
      <w:r w:rsidRPr="00EA4C1F">
        <w:rPr>
          <w:rFonts w:ascii="Times New Roman" w:hAnsi="Times New Roman" w:cs="Times New Roman"/>
        </w:rPr>
        <w:t>Resultados</w:t>
      </w:r>
      <w:bookmarkEnd w:id="38"/>
    </w:p>
    <w:p w14:paraId="00000155"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A continuación, se presentan los resultados obtenidos para cada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bajo ambos marcos normativos. Se expone la estimación de reserva de siniestros IBNR bajo RGAA y la estimación compatible con IFRS 17, desagregando esta última en sus componentes (Estimación de siniestros, efecto del descuento y Ajuste por Riesgo No Financiero). </w:t>
      </w:r>
    </w:p>
    <w:p w14:paraId="783CBC18" w14:textId="77777777" w:rsidR="000E27CD" w:rsidRDefault="000E27CD" w:rsidP="000E27CD">
      <w:pPr>
        <w:keepNext/>
        <w:spacing w:after="0" w:line="480" w:lineRule="auto"/>
        <w:jc w:val="both"/>
      </w:pPr>
      <w:r>
        <w:rPr>
          <w:noProof/>
        </w:rPr>
        <w:lastRenderedPageBreak/>
        <w:drawing>
          <wp:inline distT="0" distB="0" distL="0" distR="0" wp14:anchorId="12E2DEDF" wp14:editId="6F9F1EA2">
            <wp:extent cx="3752698" cy="753466"/>
            <wp:effectExtent l="0" t="0" r="635" b="8890"/>
            <wp:docPr id="162630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01231" name=""/>
                    <pic:cNvPicPr/>
                  </pic:nvPicPr>
                  <pic:blipFill>
                    <a:blip r:embed="rId34"/>
                    <a:stretch>
                      <a:fillRect/>
                    </a:stretch>
                  </pic:blipFill>
                  <pic:spPr>
                    <a:xfrm>
                      <a:off x="0" y="0"/>
                      <a:ext cx="3771374" cy="757216"/>
                    </a:xfrm>
                    <a:prstGeom prst="rect">
                      <a:avLst/>
                    </a:prstGeom>
                  </pic:spPr>
                </pic:pic>
              </a:graphicData>
            </a:graphic>
          </wp:inline>
        </w:drawing>
      </w:r>
    </w:p>
    <w:p w14:paraId="00000157" w14:textId="47D5EB35" w:rsidR="00E6009A" w:rsidRPr="00EA4C1F" w:rsidRDefault="000E27CD" w:rsidP="000E27CD">
      <w:pPr>
        <w:pStyle w:val="Caption"/>
        <w:jc w:val="both"/>
        <w:rPr>
          <w:rFonts w:ascii="Times New Roman" w:eastAsia="Times New Roman" w:hAnsi="Times New Roman" w:cs="Times New Roman"/>
          <w:sz w:val="24"/>
          <w:szCs w:val="24"/>
        </w:rPr>
      </w:pPr>
      <w:r>
        <w:t xml:space="preserve">Tabla </w:t>
      </w:r>
      <w:fldSimple w:instr=" SEQ Tabla \* ARABIC ">
        <w:r>
          <w:rPr>
            <w:noProof/>
          </w:rPr>
          <w:t>16</w:t>
        </w:r>
      </w:fldSimple>
      <w:r>
        <w:t>: Resultado por RGAA</w:t>
      </w:r>
    </w:p>
    <w:p w14:paraId="28B682FD" w14:textId="77777777" w:rsidR="000E27CD" w:rsidRDefault="000E27CD" w:rsidP="000E27CD">
      <w:pPr>
        <w:keepNext/>
        <w:spacing w:after="0" w:line="480" w:lineRule="auto"/>
        <w:jc w:val="both"/>
      </w:pPr>
      <w:r>
        <w:rPr>
          <w:noProof/>
        </w:rPr>
        <w:drawing>
          <wp:inline distT="0" distB="0" distL="0" distR="0" wp14:anchorId="35E127C5" wp14:editId="04088516">
            <wp:extent cx="5943600" cy="471805"/>
            <wp:effectExtent l="0" t="0" r="0" b="4445"/>
            <wp:docPr id="182659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8491" name=""/>
                    <pic:cNvPicPr/>
                  </pic:nvPicPr>
                  <pic:blipFill>
                    <a:blip r:embed="rId35"/>
                    <a:stretch>
                      <a:fillRect/>
                    </a:stretch>
                  </pic:blipFill>
                  <pic:spPr>
                    <a:xfrm>
                      <a:off x="0" y="0"/>
                      <a:ext cx="5943600" cy="471805"/>
                    </a:xfrm>
                    <a:prstGeom prst="rect">
                      <a:avLst/>
                    </a:prstGeom>
                  </pic:spPr>
                </pic:pic>
              </a:graphicData>
            </a:graphic>
          </wp:inline>
        </w:drawing>
      </w:r>
    </w:p>
    <w:p w14:paraId="00000158" w14:textId="21989BE5" w:rsidR="00E6009A" w:rsidRPr="00EA4C1F" w:rsidRDefault="000E27CD" w:rsidP="000E27CD">
      <w:pPr>
        <w:pStyle w:val="Caption"/>
        <w:jc w:val="both"/>
        <w:rPr>
          <w:rFonts w:ascii="Times New Roman" w:eastAsia="Times New Roman" w:hAnsi="Times New Roman" w:cs="Times New Roman"/>
          <w:sz w:val="24"/>
          <w:szCs w:val="24"/>
        </w:rPr>
      </w:pPr>
      <w:r>
        <w:t xml:space="preserve">Tabla </w:t>
      </w:r>
      <w:fldSimple w:instr=" SEQ Tabla \* ARABIC ">
        <w:r>
          <w:rPr>
            <w:noProof/>
          </w:rPr>
          <w:t>17</w:t>
        </w:r>
      </w:fldSimple>
      <w:r>
        <w:t>: Resultados por IFRS 17</w:t>
      </w:r>
    </w:p>
    <w:p w14:paraId="00000159" w14:textId="0EBD24F6"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RC Daños a Cosas, </w:t>
      </w:r>
      <w:r w:rsidR="005A566A">
        <w:rPr>
          <w:rFonts w:ascii="Times New Roman" w:eastAsia="Times New Roman" w:hAnsi="Times New Roman" w:cs="Times New Roman"/>
          <w:sz w:val="24"/>
          <w:szCs w:val="24"/>
        </w:rPr>
        <w:t>la reserva por</w:t>
      </w:r>
      <w:r w:rsidRPr="00EA4C1F">
        <w:rPr>
          <w:rFonts w:ascii="Times New Roman" w:eastAsia="Times New Roman" w:hAnsi="Times New Roman" w:cs="Times New Roman"/>
          <w:sz w:val="24"/>
          <w:szCs w:val="24"/>
        </w:rPr>
        <w:t xml:space="preserve"> IFRS 17</w:t>
      </w:r>
      <w:sdt>
        <w:sdtPr>
          <w:rPr>
            <w:rFonts w:ascii="Times New Roman" w:eastAsia="Times New Roman" w:hAnsi="Times New Roman" w:cs="Times New Roman"/>
            <w:sz w:val="24"/>
            <w:szCs w:val="24"/>
          </w:rPr>
          <w:id w:val="1278060424"/>
          <w:citation/>
        </w:sdtPr>
        <w:sdtContent>
          <w:r w:rsidR="005A566A">
            <w:rPr>
              <w:rFonts w:ascii="Times New Roman" w:eastAsia="Times New Roman" w:hAnsi="Times New Roman" w:cs="Times New Roman"/>
              <w:sz w:val="24"/>
              <w:szCs w:val="24"/>
            </w:rPr>
            <w:fldChar w:fldCharType="begin"/>
          </w:r>
          <w:r w:rsidR="005A566A" w:rsidRPr="005A566A">
            <w:rPr>
              <w:rFonts w:ascii="Times New Roman" w:eastAsia="Times New Roman" w:hAnsi="Times New Roman" w:cs="Times New Roman"/>
              <w:sz w:val="24"/>
              <w:szCs w:val="24"/>
            </w:rPr>
            <w:instrText xml:space="preserve"> CITATION IFRS17 \l 1033 </w:instrText>
          </w:r>
          <w:r w:rsidR="005A566A">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5A566A">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resulta inferior a la obtenida bajo RGAA</w:t>
      </w:r>
      <w:sdt>
        <w:sdtPr>
          <w:rPr>
            <w:rFonts w:ascii="Times New Roman" w:eastAsia="Times New Roman" w:hAnsi="Times New Roman" w:cs="Times New Roman"/>
            <w:sz w:val="24"/>
            <w:szCs w:val="24"/>
          </w:rPr>
          <w:id w:val="-1691294526"/>
          <w:citation/>
        </w:sdtPr>
        <w:sdtContent>
          <w:r w:rsidR="005A566A">
            <w:rPr>
              <w:rFonts w:ascii="Times New Roman" w:eastAsia="Times New Roman" w:hAnsi="Times New Roman" w:cs="Times New Roman"/>
              <w:sz w:val="24"/>
              <w:szCs w:val="24"/>
            </w:rPr>
            <w:fldChar w:fldCharType="begin"/>
          </w:r>
          <w:r w:rsidR="005A566A" w:rsidRPr="005A566A">
            <w:rPr>
              <w:rFonts w:ascii="Times New Roman" w:eastAsia="Times New Roman" w:hAnsi="Times New Roman" w:cs="Times New Roman"/>
              <w:sz w:val="24"/>
              <w:szCs w:val="24"/>
            </w:rPr>
            <w:instrText xml:space="preserve"> CITATION RGAA \l 1033 </w:instrText>
          </w:r>
          <w:r w:rsidR="005A566A">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5A566A">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w:t>
      </w:r>
      <w:r w:rsidR="005A566A">
        <w:rPr>
          <w:rFonts w:ascii="Times New Roman" w:eastAsia="Times New Roman" w:hAnsi="Times New Roman" w:cs="Times New Roman"/>
          <w:sz w:val="24"/>
          <w:szCs w:val="24"/>
        </w:rPr>
        <w:t xml:space="preserve"> Se observa que la</w:t>
      </w:r>
      <w:r w:rsidR="005A566A" w:rsidRPr="00EA4C1F">
        <w:rPr>
          <w:rFonts w:ascii="Times New Roman" w:eastAsia="Times New Roman" w:hAnsi="Times New Roman" w:cs="Times New Roman"/>
          <w:sz w:val="24"/>
          <w:szCs w:val="24"/>
        </w:rPr>
        <w:t xml:space="preserve"> diferencia </w:t>
      </w:r>
      <w:r w:rsidR="005A566A">
        <w:rPr>
          <w:rFonts w:ascii="Times New Roman" w:eastAsia="Times New Roman" w:hAnsi="Times New Roman" w:cs="Times New Roman"/>
          <w:sz w:val="24"/>
          <w:szCs w:val="24"/>
        </w:rPr>
        <w:t>entre</w:t>
      </w:r>
      <w:r w:rsidR="005A566A" w:rsidRPr="00EA4C1F">
        <w:rPr>
          <w:rFonts w:ascii="Times New Roman" w:eastAsia="Times New Roman" w:hAnsi="Times New Roman" w:cs="Times New Roman"/>
          <w:sz w:val="24"/>
          <w:szCs w:val="24"/>
        </w:rPr>
        <w:t xml:space="preserve"> el valor presente de los flujos</w:t>
      </w:r>
      <w:r w:rsidR="005A566A">
        <w:rPr>
          <w:rFonts w:ascii="Times New Roman" w:eastAsia="Times New Roman" w:hAnsi="Times New Roman" w:cs="Times New Roman"/>
          <w:sz w:val="24"/>
          <w:szCs w:val="24"/>
        </w:rPr>
        <w:t xml:space="preserve"> y la reserva por normativa local</w:t>
      </w:r>
      <w:r w:rsidR="005A566A" w:rsidRPr="00EA4C1F">
        <w:rPr>
          <w:rFonts w:ascii="Times New Roman" w:eastAsia="Times New Roman" w:hAnsi="Times New Roman" w:cs="Times New Roman"/>
          <w:sz w:val="24"/>
          <w:szCs w:val="24"/>
        </w:rPr>
        <w:t xml:space="preserve"> se explica principalmente por el patrón de desarrollo y su extrapolación</w:t>
      </w:r>
      <w:r w:rsidR="005A566A">
        <w:rPr>
          <w:rFonts w:ascii="Times New Roman" w:eastAsia="Times New Roman" w:hAnsi="Times New Roman" w:cs="Times New Roman"/>
          <w:sz w:val="24"/>
          <w:szCs w:val="24"/>
        </w:rPr>
        <w:t>.</w:t>
      </w:r>
      <w:r w:rsidR="005A566A" w:rsidRPr="00EA4C1F">
        <w:rPr>
          <w:rFonts w:ascii="Times New Roman" w:eastAsia="Times New Roman" w:hAnsi="Times New Roman" w:cs="Times New Roman"/>
          <w:sz w:val="24"/>
          <w:szCs w:val="24"/>
        </w:rPr>
        <w:t xml:space="preserve"> </w:t>
      </w:r>
      <w:r w:rsidR="005A566A">
        <w:rPr>
          <w:rFonts w:ascii="Times New Roman" w:eastAsia="Times New Roman" w:hAnsi="Times New Roman" w:cs="Times New Roman"/>
          <w:sz w:val="24"/>
          <w:szCs w:val="24"/>
        </w:rPr>
        <w:t>L</w:t>
      </w:r>
      <w:r w:rsidR="005A566A" w:rsidRPr="00EA4C1F">
        <w:rPr>
          <w:rFonts w:ascii="Times New Roman" w:eastAsia="Times New Roman" w:hAnsi="Times New Roman" w:cs="Times New Roman"/>
          <w:sz w:val="24"/>
          <w:szCs w:val="24"/>
        </w:rPr>
        <w:t>a estimación por Chain Ladder con extrapolación mediante potencia inversa</w:t>
      </w:r>
      <w:sdt>
        <w:sdtPr>
          <w:rPr>
            <w:rFonts w:ascii="Times New Roman" w:eastAsia="Times New Roman" w:hAnsi="Times New Roman" w:cs="Times New Roman"/>
            <w:sz w:val="24"/>
            <w:szCs w:val="24"/>
          </w:rPr>
          <w:id w:val="-1902666568"/>
          <w:citation/>
        </w:sdtPr>
        <w:sdtContent>
          <w:r w:rsidR="005A566A">
            <w:rPr>
              <w:rFonts w:ascii="Times New Roman" w:eastAsia="Times New Roman" w:hAnsi="Times New Roman" w:cs="Times New Roman"/>
              <w:sz w:val="24"/>
              <w:szCs w:val="24"/>
            </w:rPr>
            <w:fldChar w:fldCharType="begin"/>
          </w:r>
          <w:r w:rsidR="005A566A" w:rsidRPr="005A566A">
            <w:rPr>
              <w:rFonts w:ascii="Times New Roman" w:eastAsia="Times New Roman" w:hAnsi="Times New Roman" w:cs="Times New Roman"/>
              <w:sz w:val="24"/>
              <w:szCs w:val="24"/>
            </w:rPr>
            <w:instrText xml:space="preserve"> CITATION RIC99 \l 1033 </w:instrText>
          </w:r>
          <w:r w:rsidR="005A566A">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(SHERMAN, 1999)</w:t>
          </w:r>
          <w:r w:rsidR="005A566A">
            <w:rPr>
              <w:rFonts w:ascii="Times New Roman" w:eastAsia="Times New Roman" w:hAnsi="Times New Roman" w:cs="Times New Roman"/>
              <w:sz w:val="24"/>
              <w:szCs w:val="24"/>
            </w:rPr>
            <w:fldChar w:fldCharType="end"/>
          </w:r>
        </w:sdtContent>
      </w:sdt>
      <w:r w:rsidR="005A566A" w:rsidRPr="00EA4C1F">
        <w:rPr>
          <w:rFonts w:ascii="Times New Roman" w:eastAsia="Times New Roman" w:hAnsi="Times New Roman" w:cs="Times New Roman"/>
          <w:sz w:val="24"/>
          <w:szCs w:val="24"/>
        </w:rPr>
        <w:t xml:space="preserve"> refleja una convergencia relativamente rápida de los factores hacia la unidad, mientras que el esquema del RGAA</w:t>
      </w:r>
      <w:sdt>
        <w:sdtPr>
          <w:rPr>
            <w:rFonts w:ascii="Times New Roman" w:eastAsia="Times New Roman" w:hAnsi="Times New Roman" w:cs="Times New Roman"/>
            <w:sz w:val="24"/>
            <w:szCs w:val="24"/>
          </w:rPr>
          <w:id w:val="355391785"/>
          <w:citation/>
        </w:sdtPr>
        <w:sdtContent>
          <w:r w:rsidR="005A566A">
            <w:rPr>
              <w:rFonts w:ascii="Times New Roman" w:eastAsia="Times New Roman" w:hAnsi="Times New Roman" w:cs="Times New Roman"/>
              <w:sz w:val="24"/>
              <w:szCs w:val="24"/>
            </w:rPr>
            <w:fldChar w:fldCharType="begin"/>
          </w:r>
          <w:r w:rsidR="005A566A" w:rsidRPr="005A566A">
            <w:rPr>
              <w:rFonts w:ascii="Times New Roman" w:eastAsia="Times New Roman" w:hAnsi="Times New Roman" w:cs="Times New Roman"/>
              <w:sz w:val="24"/>
              <w:szCs w:val="24"/>
            </w:rPr>
            <w:instrText xml:space="preserve"> CITATION RGAA \l 1033 </w:instrText>
          </w:r>
          <w:r w:rsidR="005A566A">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5A566A">
            <w:rPr>
              <w:rFonts w:ascii="Times New Roman" w:eastAsia="Times New Roman" w:hAnsi="Times New Roman" w:cs="Times New Roman"/>
              <w:sz w:val="24"/>
              <w:szCs w:val="24"/>
            </w:rPr>
            <w:fldChar w:fldCharType="end"/>
          </w:r>
        </w:sdtContent>
      </w:sdt>
      <w:r w:rsidR="005A566A" w:rsidRPr="00EA4C1F">
        <w:rPr>
          <w:rFonts w:ascii="Times New Roman" w:eastAsia="Times New Roman" w:hAnsi="Times New Roman" w:cs="Times New Roman"/>
          <w:sz w:val="24"/>
          <w:szCs w:val="24"/>
        </w:rPr>
        <w:t xml:space="preserve"> incorpora un supuesto de cola fija para todos los ramos de cola larga.</w:t>
      </w:r>
      <w:r w:rsidR="005A566A">
        <w:rPr>
          <w:rFonts w:ascii="Times New Roman" w:eastAsia="Times New Roman" w:hAnsi="Times New Roman" w:cs="Times New Roman"/>
          <w:sz w:val="24"/>
          <w:szCs w:val="24"/>
        </w:rPr>
        <w:t xml:space="preserve"> Adicionalmente, el </w:t>
      </w:r>
      <w:r w:rsidRPr="00EA4C1F">
        <w:rPr>
          <w:rFonts w:ascii="Times New Roman" w:eastAsia="Times New Roman" w:hAnsi="Times New Roman" w:cs="Times New Roman"/>
          <w:sz w:val="24"/>
          <w:szCs w:val="24"/>
        </w:rPr>
        <w:t>Ajuste por Riesgo no financiero</w:t>
      </w:r>
      <w:r w:rsidR="005A566A">
        <w:rPr>
          <w:rFonts w:ascii="Times New Roman" w:eastAsia="Times New Roman" w:hAnsi="Times New Roman" w:cs="Times New Roman"/>
          <w:sz w:val="24"/>
          <w:szCs w:val="24"/>
        </w:rPr>
        <w:t xml:space="preserve"> compone una gran parte de la reserva, cerrando la distancia entre los dos resultados.</w:t>
      </w:r>
      <w:r w:rsidRPr="00EA4C1F">
        <w:rPr>
          <w:rFonts w:ascii="Times New Roman" w:eastAsia="Times New Roman" w:hAnsi="Times New Roman" w:cs="Times New Roman"/>
          <w:sz w:val="24"/>
          <w:szCs w:val="24"/>
        </w:rPr>
        <w:t xml:space="preserve"> En </w:t>
      </w:r>
      <w:r w:rsidR="005A566A">
        <w:rPr>
          <w:rFonts w:ascii="Times New Roman" w:eastAsia="Times New Roman" w:hAnsi="Times New Roman" w:cs="Times New Roman"/>
          <w:sz w:val="24"/>
          <w:szCs w:val="24"/>
        </w:rPr>
        <w:t xml:space="preserve">resumen, para </w:t>
      </w:r>
      <w:r w:rsidRPr="00EA4C1F">
        <w:rPr>
          <w:rFonts w:ascii="Times New Roman" w:eastAsia="Times New Roman" w:hAnsi="Times New Roman" w:cs="Times New Roman"/>
          <w:sz w:val="24"/>
          <w:szCs w:val="24"/>
        </w:rPr>
        <w:t xml:space="preserve">este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el efecto del descuento es acotado y el Ajuste de Riesgo No financiero representa una contribución relevante, consistente con la volatilidad observada en la experiencia. </w:t>
      </w:r>
    </w:p>
    <w:p w14:paraId="0000015A" w14:textId="53D523E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los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de Lesiones a 3° (Transportados y No Transportados), la estimación compatible con IFRS 17 supera significativamente a la obtenida bajo RGAA. Este comportamiento es consistente con una cola más prolongada, asociada a litigiosidad y severidad de dichos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w:t>
      </w:r>
      <w:r w:rsidR="005A566A">
        <w:rPr>
          <w:rFonts w:ascii="Times New Roman" w:eastAsia="Times New Roman" w:hAnsi="Times New Roman" w:cs="Times New Roman"/>
          <w:sz w:val="24"/>
          <w:szCs w:val="24"/>
        </w:rPr>
        <w:t>Las cuales</w:t>
      </w:r>
      <w:r w:rsidRPr="00EA4C1F">
        <w:rPr>
          <w:rFonts w:ascii="Times New Roman" w:eastAsia="Times New Roman" w:hAnsi="Times New Roman" w:cs="Times New Roman"/>
          <w:sz w:val="24"/>
          <w:szCs w:val="24"/>
        </w:rPr>
        <w:t xml:space="preserve"> se reflejan en una proyección de siniestros IBNR más elevada bajo el enfoque actuarial. En ambos casos, el factor de descuento reduce el valor presente del pasivo, atenuando parcialmente el efecto de la cola</w:t>
      </w:r>
      <w:r w:rsidR="005A566A">
        <w:rPr>
          <w:rFonts w:ascii="Times New Roman" w:eastAsia="Times New Roman" w:hAnsi="Times New Roman" w:cs="Times New Roman"/>
          <w:sz w:val="24"/>
          <w:szCs w:val="24"/>
        </w:rPr>
        <w:t>.</w:t>
      </w:r>
      <w:r w:rsidRPr="00EA4C1F">
        <w:rPr>
          <w:rFonts w:ascii="Times New Roman" w:eastAsia="Times New Roman" w:hAnsi="Times New Roman" w:cs="Times New Roman"/>
          <w:sz w:val="24"/>
          <w:szCs w:val="24"/>
        </w:rPr>
        <w:t xml:space="preserve"> </w:t>
      </w:r>
      <w:r w:rsidR="005A566A">
        <w:rPr>
          <w:rFonts w:ascii="Times New Roman" w:eastAsia="Times New Roman" w:hAnsi="Times New Roman" w:cs="Times New Roman"/>
          <w:sz w:val="24"/>
          <w:szCs w:val="24"/>
        </w:rPr>
        <w:t>N</w:t>
      </w:r>
      <w:r w:rsidRPr="00EA4C1F">
        <w:rPr>
          <w:rFonts w:ascii="Times New Roman" w:eastAsia="Times New Roman" w:hAnsi="Times New Roman" w:cs="Times New Roman"/>
          <w:sz w:val="24"/>
          <w:szCs w:val="24"/>
        </w:rPr>
        <w:t xml:space="preserve">o obstante, la diferencia respecto de RGAA se mantiene material. Cabe </w:t>
      </w:r>
      <w:r w:rsidRPr="00EA4C1F">
        <w:rPr>
          <w:rFonts w:ascii="Times New Roman" w:eastAsia="Times New Roman" w:hAnsi="Times New Roman" w:cs="Times New Roman"/>
          <w:sz w:val="24"/>
          <w:szCs w:val="24"/>
        </w:rPr>
        <w:lastRenderedPageBreak/>
        <w:t>señalar que, en el tramo corto, pueden observarse factores de descuento superiores a 1, producto de tasas</w:t>
      </w:r>
      <w:r w:rsidR="0077614E">
        <w:rPr>
          <w:rFonts w:ascii="Times New Roman" w:eastAsia="Times New Roman" w:hAnsi="Times New Roman" w:cs="Times New Roman"/>
          <w:sz w:val="24"/>
          <w:szCs w:val="24"/>
        </w:rPr>
        <w:t xml:space="preserve"> de rendimiento</w:t>
      </w:r>
      <w:r w:rsidRPr="00EA4C1F">
        <w:rPr>
          <w:rFonts w:ascii="Times New Roman" w:eastAsia="Times New Roman" w:hAnsi="Times New Roman" w:cs="Times New Roman"/>
          <w:sz w:val="24"/>
          <w:szCs w:val="24"/>
        </w:rPr>
        <w:t xml:space="preserve"> reales negativas. A pesar de esto, el efecto predominante en horizontes mayores es la reducción del valor presente. El Ajuste de Riesgo No Financiero aporta una capa de prudencia explícita ausente en RGAA y resulta más significativo en aquellos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donde la distribución empírica del valor presente presenta mayor dispersión (particularmente RC Daños a cosas). </w:t>
      </w:r>
    </w:p>
    <w:p w14:paraId="0000015B" w14:textId="7777777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conjunto, los resultados sugieren que las diferencias entre marcos se explican principalmente por la forma de proyectar el desarrollo tardío (cola) y por la explicitación del ajuste de riesgo no financiero, mientras que el descuento opera como un ajuste financiero que, en promedio, reduce el valor presente de la reserva.</w:t>
      </w:r>
    </w:p>
    <w:p w14:paraId="0000015C" w14:textId="77777777" w:rsidR="00E6009A" w:rsidRPr="00EA4C1F" w:rsidRDefault="00000000" w:rsidP="00EA4C1F">
      <w:pPr>
        <w:pStyle w:val="Heading1"/>
        <w:numPr>
          <w:ilvl w:val="0"/>
          <w:numId w:val="3"/>
        </w:numPr>
      </w:pPr>
      <w:bookmarkStart w:id="39" w:name="_Toc221446760"/>
      <w:r w:rsidRPr="00EA4C1F">
        <w:t>Conclusiones</w:t>
      </w:r>
      <w:bookmarkEnd w:id="39"/>
    </w:p>
    <w:p w14:paraId="0000015D" w14:textId="5DC1A615"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La hipótesis inicial sostiene que los cambios normativos locales no son suficientes para calcular de manera efectiva la reserva IBNR en Responsabilidad Civil Automotor, en comparación con un estándar internacional como IFRS 17</w:t>
      </w:r>
      <w:sdt>
        <w:sdtPr>
          <w:rPr>
            <w:rFonts w:ascii="Times New Roman" w:eastAsia="Times New Roman" w:hAnsi="Times New Roman" w:cs="Times New Roman"/>
            <w:sz w:val="24"/>
            <w:szCs w:val="24"/>
          </w:rPr>
          <w:id w:val="278762383"/>
          <w:citation/>
        </w:sdtPr>
        <w:sdtContent>
          <w:r w:rsidR="0077614E">
            <w:rPr>
              <w:rFonts w:ascii="Times New Roman" w:eastAsia="Times New Roman" w:hAnsi="Times New Roman" w:cs="Times New Roman"/>
              <w:sz w:val="24"/>
              <w:szCs w:val="24"/>
            </w:rPr>
            <w:fldChar w:fldCharType="begin"/>
          </w:r>
          <w:r w:rsidR="0077614E" w:rsidRPr="0077614E">
            <w:rPr>
              <w:rFonts w:ascii="Times New Roman" w:eastAsia="Times New Roman" w:hAnsi="Times New Roman" w:cs="Times New Roman"/>
              <w:sz w:val="24"/>
              <w:szCs w:val="24"/>
            </w:rPr>
            <w:instrText xml:space="preserve"> CITATION IFRS17 \l 1033 </w:instrText>
          </w:r>
          <w:r w:rsidR="0077614E">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77614E">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A partir de los resultados obtenidos para RC Daños a Cosas, RC Lesiones a 3° Transportados y RC Lesiones a 3° No Transportados, la conclusión no es del todo </w:t>
      </w:r>
      <w:r w:rsidR="0077614E" w:rsidRPr="00EA4C1F">
        <w:rPr>
          <w:rFonts w:ascii="Times New Roman" w:eastAsia="Times New Roman" w:hAnsi="Times New Roman" w:cs="Times New Roman"/>
          <w:sz w:val="24"/>
          <w:szCs w:val="24"/>
        </w:rPr>
        <w:t>evidente.</w:t>
      </w:r>
      <w:r w:rsidRPr="00EA4C1F">
        <w:rPr>
          <w:rFonts w:ascii="Times New Roman" w:eastAsia="Times New Roman" w:hAnsi="Times New Roman" w:cs="Times New Roman"/>
          <w:sz w:val="24"/>
          <w:szCs w:val="24"/>
        </w:rPr>
        <w:t xml:space="preserve"> La hipótesis no se rechaza en términos metodológicos y económicos, pero su aplicabilidad depende del contexto del mercado asegurador local. El RGAA </w:t>
      </w:r>
      <w:sdt>
        <w:sdtPr>
          <w:rPr>
            <w:rFonts w:ascii="Times New Roman" w:eastAsia="Times New Roman" w:hAnsi="Times New Roman" w:cs="Times New Roman"/>
            <w:sz w:val="24"/>
            <w:szCs w:val="24"/>
          </w:rPr>
          <w:id w:val="33241224"/>
          <w:citation/>
        </w:sdtPr>
        <w:sdtContent>
          <w:r w:rsidR="0077614E">
            <w:rPr>
              <w:rFonts w:ascii="Times New Roman" w:eastAsia="Times New Roman" w:hAnsi="Times New Roman" w:cs="Times New Roman"/>
              <w:sz w:val="24"/>
              <w:szCs w:val="24"/>
            </w:rPr>
            <w:fldChar w:fldCharType="begin"/>
          </w:r>
          <w:r w:rsidR="0077614E" w:rsidRPr="0077614E">
            <w:rPr>
              <w:rFonts w:ascii="Times New Roman" w:eastAsia="Times New Roman" w:hAnsi="Times New Roman" w:cs="Times New Roman"/>
              <w:sz w:val="24"/>
              <w:szCs w:val="24"/>
            </w:rPr>
            <w:instrText xml:space="preserve"> CITATION IFRS17 \l 1033 </w:instrText>
          </w:r>
          <w:r w:rsidR="0077614E">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(International Accounting Standards Board, 2017)</w:t>
          </w:r>
          <w:r w:rsidR="0077614E">
            <w:rPr>
              <w:rFonts w:ascii="Times New Roman" w:eastAsia="Times New Roman" w:hAnsi="Times New Roman" w:cs="Times New Roman"/>
              <w:sz w:val="24"/>
              <w:szCs w:val="24"/>
            </w:rPr>
            <w:fldChar w:fldCharType="end"/>
          </w:r>
        </w:sdtContent>
      </w:sdt>
      <w:r w:rsidR="0077614E">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provee un esquema operativo estandarizado, aunque con poca flexibilidad para capturar explícitamente los principales drivers del enfoque internacional: la dinámica de cola por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el valor tiempo del dinero y la incertidumbre no financiera.</w:t>
      </w:r>
    </w:p>
    <w:p w14:paraId="0000015E" w14:textId="2EE3E0AF"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lastRenderedPageBreak/>
        <w:t xml:space="preserve">En primer lugar, el procedimiento de actualización por FACPCE resulta una aproximación adecuada para expresar los siniestros en una unidad homogénea y reducir distorsiones inflacionarias. Si bien no captura de forma perfecta la inflación propia de cada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funciona como proxy razonable del valor real de la variación. No obstante, en segmentos con alta litigiosidad puede existir descalce respecto a la actualización de </w:t>
      </w:r>
      <w:r w:rsidR="0077614E" w:rsidRPr="00EA4C1F">
        <w:rPr>
          <w:rFonts w:ascii="Times New Roman" w:eastAsia="Times New Roman" w:hAnsi="Times New Roman" w:cs="Times New Roman"/>
          <w:sz w:val="24"/>
          <w:szCs w:val="24"/>
        </w:rPr>
        <w:t>estos</w:t>
      </w:r>
      <w:r w:rsidRPr="00EA4C1F">
        <w:rPr>
          <w:rFonts w:ascii="Times New Roman" w:eastAsia="Times New Roman" w:hAnsi="Times New Roman" w:cs="Times New Roman"/>
          <w:sz w:val="24"/>
          <w:szCs w:val="24"/>
        </w:rPr>
        <w:t>, requiriendo un enfoque más granular.</w:t>
      </w:r>
    </w:p>
    <w:p w14:paraId="0000015F" w14:textId="285585C6"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segundo lugar, el tratamiento de la estimación de siniestros bajo RGAA presenta una limitación metodológica. Al apoyarse en un supuesto de factor de cola fijo, para ramos de cola larga, se tiende a no representar la evolución</w:t>
      </w:r>
      <w:r w:rsidR="0077614E">
        <w:rPr>
          <w:rFonts w:ascii="Times New Roman" w:eastAsia="Times New Roman" w:hAnsi="Times New Roman" w:cs="Times New Roman"/>
          <w:sz w:val="24"/>
          <w:szCs w:val="24"/>
        </w:rPr>
        <w:t xml:space="preserve"> de</w:t>
      </w:r>
      <w:r w:rsidRPr="00EA4C1F">
        <w:rPr>
          <w:rFonts w:ascii="Times New Roman" w:eastAsia="Times New Roman" w:hAnsi="Times New Roman" w:cs="Times New Roman"/>
          <w:sz w:val="24"/>
          <w:szCs w:val="24"/>
        </w:rPr>
        <w:t xml:space="preserve"> ramos y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con perfiles de desarrollo de siniestros distintos. En esta tesina, la estimación por Chain Ladder con extrapolación por potencia inversa </w:t>
      </w:r>
      <w:sdt>
        <w:sdtPr>
          <w:rPr>
            <w:rFonts w:ascii="Times New Roman" w:eastAsia="Times New Roman" w:hAnsi="Times New Roman" w:cs="Times New Roman"/>
            <w:sz w:val="24"/>
            <w:szCs w:val="24"/>
          </w:rPr>
          <w:id w:val="-79762188"/>
          <w:citation/>
        </w:sdtPr>
        <w:sdtContent>
          <w:r w:rsidR="0077614E">
            <w:rPr>
              <w:rFonts w:ascii="Times New Roman" w:eastAsia="Times New Roman" w:hAnsi="Times New Roman" w:cs="Times New Roman"/>
              <w:sz w:val="24"/>
              <w:szCs w:val="24"/>
            </w:rPr>
            <w:fldChar w:fldCharType="begin"/>
          </w:r>
          <w:r w:rsidR="0077614E" w:rsidRPr="0077614E">
            <w:rPr>
              <w:rFonts w:ascii="Times New Roman" w:eastAsia="Times New Roman" w:hAnsi="Times New Roman" w:cs="Times New Roman"/>
              <w:sz w:val="24"/>
              <w:szCs w:val="24"/>
            </w:rPr>
            <w:instrText xml:space="preserve"> CITATION RIC99 \l 1033 </w:instrText>
          </w:r>
          <w:r w:rsidR="0077614E">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(SHERMAN, 1999)</w:t>
          </w:r>
          <w:r w:rsidR="0077614E">
            <w:rPr>
              <w:rFonts w:ascii="Times New Roman" w:eastAsia="Times New Roman" w:hAnsi="Times New Roman" w:cs="Times New Roman"/>
              <w:sz w:val="24"/>
              <w:szCs w:val="24"/>
            </w:rPr>
            <w:fldChar w:fldCharType="end"/>
          </w:r>
        </w:sdtContent>
      </w:sdt>
      <w:r w:rsidR="0077614E">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 xml:space="preserve">permitió capturar comportamientos característicos de cada </w:t>
      </w:r>
      <w:proofErr w:type="spellStart"/>
      <w:r w:rsidRPr="00EA4C1F">
        <w:rPr>
          <w:rFonts w:ascii="Times New Roman" w:eastAsia="Times New Roman" w:hAnsi="Times New Roman" w:cs="Times New Roman"/>
          <w:sz w:val="24"/>
          <w:szCs w:val="24"/>
        </w:rPr>
        <w:t>sub-ramo</w:t>
      </w:r>
      <w:proofErr w:type="spellEnd"/>
      <w:r w:rsidRPr="00EA4C1F">
        <w:rPr>
          <w:rFonts w:ascii="Times New Roman" w:eastAsia="Times New Roman" w:hAnsi="Times New Roman" w:cs="Times New Roman"/>
          <w:sz w:val="24"/>
          <w:szCs w:val="24"/>
        </w:rPr>
        <w:t xml:space="preserve"> analizado. En RC Daños a Cosas se observó un desarrollo tardío menor </w:t>
      </w:r>
      <w:r w:rsidR="0077614E">
        <w:rPr>
          <w:rFonts w:ascii="Times New Roman" w:eastAsia="Times New Roman" w:hAnsi="Times New Roman" w:cs="Times New Roman"/>
          <w:sz w:val="24"/>
          <w:szCs w:val="24"/>
        </w:rPr>
        <w:t>al</w:t>
      </w:r>
      <w:r w:rsidRPr="00EA4C1F">
        <w:rPr>
          <w:rFonts w:ascii="Times New Roman" w:eastAsia="Times New Roman" w:hAnsi="Times New Roman" w:cs="Times New Roman"/>
          <w:sz w:val="24"/>
          <w:szCs w:val="24"/>
        </w:rPr>
        <w:t xml:space="preserve"> implícito </w:t>
      </w:r>
      <w:r w:rsidR="0077614E">
        <w:rPr>
          <w:rFonts w:ascii="Times New Roman" w:eastAsia="Times New Roman" w:hAnsi="Times New Roman" w:cs="Times New Roman"/>
          <w:sz w:val="24"/>
          <w:szCs w:val="24"/>
        </w:rPr>
        <w:t>por</w:t>
      </w:r>
      <w:r w:rsidRPr="00EA4C1F">
        <w:rPr>
          <w:rFonts w:ascii="Times New Roman" w:eastAsia="Times New Roman" w:hAnsi="Times New Roman" w:cs="Times New Roman"/>
          <w:sz w:val="24"/>
          <w:szCs w:val="24"/>
        </w:rPr>
        <w:t xml:space="preserve"> la cola fija, mientras que en los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de Lesiones la cola resultó </w:t>
      </w:r>
      <w:r w:rsidR="0077614E">
        <w:rPr>
          <w:rFonts w:ascii="Times New Roman" w:eastAsia="Times New Roman" w:hAnsi="Times New Roman" w:cs="Times New Roman"/>
          <w:sz w:val="24"/>
          <w:szCs w:val="24"/>
        </w:rPr>
        <w:t xml:space="preserve">ser </w:t>
      </w:r>
      <w:r w:rsidRPr="00EA4C1F">
        <w:rPr>
          <w:rFonts w:ascii="Times New Roman" w:eastAsia="Times New Roman" w:hAnsi="Times New Roman" w:cs="Times New Roman"/>
          <w:sz w:val="24"/>
          <w:szCs w:val="24"/>
        </w:rPr>
        <w:t xml:space="preserve">más duradera. Esta metodología premia el buen manejo de cartera de </w:t>
      </w:r>
      <w:r w:rsidR="0077614E" w:rsidRPr="00EA4C1F">
        <w:rPr>
          <w:rFonts w:ascii="Times New Roman" w:eastAsia="Times New Roman" w:hAnsi="Times New Roman" w:cs="Times New Roman"/>
          <w:sz w:val="24"/>
          <w:szCs w:val="24"/>
        </w:rPr>
        <w:t>seguros,</w:t>
      </w:r>
      <w:r w:rsidRPr="00EA4C1F">
        <w:rPr>
          <w:rFonts w:ascii="Times New Roman" w:eastAsia="Times New Roman" w:hAnsi="Times New Roman" w:cs="Times New Roman"/>
          <w:sz w:val="24"/>
          <w:szCs w:val="24"/>
        </w:rPr>
        <w:t xml:space="preserve"> aunque necesita respaldo empírico para evitar depender excesivamente de supuestos sobre el desarrollo y estabilidad.</w:t>
      </w:r>
    </w:p>
    <w:p w14:paraId="00000160" w14:textId="25F92A63"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tercer lugar, IFRS 17 </w:t>
      </w:r>
      <w:sdt>
        <w:sdtPr>
          <w:rPr>
            <w:rFonts w:ascii="Times New Roman" w:eastAsia="Times New Roman" w:hAnsi="Times New Roman" w:cs="Times New Roman"/>
            <w:sz w:val="24"/>
            <w:szCs w:val="24"/>
          </w:rPr>
          <w:id w:val="1490670025"/>
          <w:citation/>
        </w:sdtPr>
        <w:sdtContent>
          <w:r w:rsidR="0077614E">
            <w:rPr>
              <w:rFonts w:ascii="Times New Roman" w:eastAsia="Times New Roman" w:hAnsi="Times New Roman" w:cs="Times New Roman"/>
              <w:sz w:val="24"/>
              <w:szCs w:val="24"/>
            </w:rPr>
            <w:fldChar w:fldCharType="begin"/>
          </w:r>
          <w:r w:rsidR="0077614E" w:rsidRPr="0077614E">
            <w:rPr>
              <w:rFonts w:ascii="Times New Roman" w:eastAsia="Times New Roman" w:hAnsi="Times New Roman" w:cs="Times New Roman"/>
              <w:sz w:val="24"/>
              <w:szCs w:val="24"/>
            </w:rPr>
            <w:instrText xml:space="preserve"> CITATION IFRS17 \l 1033 </w:instrText>
          </w:r>
          <w:r w:rsidR="0077614E">
            <w:rPr>
              <w:rFonts w:ascii="Times New Roman" w:eastAsia="Times New Roman" w:hAnsi="Times New Roman" w:cs="Times New Roman"/>
              <w:sz w:val="24"/>
              <w:szCs w:val="24"/>
            </w:rPr>
            <w:fldChar w:fldCharType="separate"/>
          </w:r>
          <w:r w:rsidR="00962F7A" w:rsidRPr="00962F7A">
            <w:rPr>
              <w:rFonts w:ascii="Times New Roman" w:eastAsia="Times New Roman" w:hAnsi="Times New Roman" w:cs="Times New Roman"/>
              <w:noProof/>
              <w:sz w:val="24"/>
              <w:szCs w:val="24"/>
            </w:rPr>
            <w:t>(International Accounting Standards Board, 2017)</w:t>
          </w:r>
          <w:r w:rsidR="0077614E">
            <w:rPr>
              <w:rFonts w:ascii="Times New Roman" w:eastAsia="Times New Roman" w:hAnsi="Times New Roman" w:cs="Times New Roman"/>
              <w:sz w:val="24"/>
              <w:szCs w:val="24"/>
            </w:rPr>
            <w:fldChar w:fldCharType="end"/>
          </w:r>
        </w:sdtContent>
      </w:sdt>
      <w:r w:rsidR="0077614E">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exige una medición explícita del factor de descuento coherente con los flujos del pasivo. La implementación top-</w:t>
      </w:r>
      <w:proofErr w:type="spellStart"/>
      <w:r w:rsidRPr="00EA4C1F">
        <w:rPr>
          <w:rFonts w:ascii="Times New Roman" w:eastAsia="Times New Roman" w:hAnsi="Times New Roman" w:cs="Times New Roman"/>
          <w:sz w:val="24"/>
          <w:szCs w:val="24"/>
        </w:rPr>
        <w:t>down</w:t>
      </w:r>
      <w:proofErr w:type="spellEnd"/>
      <w:r w:rsidRPr="00EA4C1F">
        <w:rPr>
          <w:rFonts w:ascii="Times New Roman" w:eastAsia="Times New Roman" w:hAnsi="Times New Roman" w:cs="Times New Roman"/>
          <w:sz w:val="24"/>
          <w:szCs w:val="24"/>
        </w:rPr>
        <w:t xml:space="preserve"> adoptada implica supuestos relevantes (como la selección de instrumentos, depuración de riesgo de crédito, </w:t>
      </w:r>
      <w:proofErr w:type="spellStart"/>
      <w:r w:rsidRPr="00EA4C1F">
        <w:rPr>
          <w:rFonts w:ascii="Times New Roman" w:eastAsia="Times New Roman" w:hAnsi="Times New Roman" w:cs="Times New Roman"/>
          <w:sz w:val="24"/>
          <w:szCs w:val="24"/>
        </w:rPr>
        <w:t>proxies</w:t>
      </w:r>
      <w:proofErr w:type="spellEnd"/>
      <w:r w:rsidRPr="00EA4C1F">
        <w:rPr>
          <w:rFonts w:ascii="Times New Roman" w:eastAsia="Times New Roman" w:hAnsi="Times New Roman" w:cs="Times New Roman"/>
          <w:sz w:val="24"/>
          <w:szCs w:val="24"/>
        </w:rPr>
        <w:t xml:space="preserve"> de PD y LGD; y estabilidad por tramos) que pueden introducir volatilidad y generar inestabilidad en un entorno cambiante como Argentina. En consecuencia, si bien el reconocimiento del valor tiempo-dinero del seguro es positivo desde el punto de vista metodológico, su aplicación puede representar un esfuerzo significativo en implementación, mantenimiento y gobernanza. Del lado regulatorio, su estandarización es compleja por la </w:t>
      </w:r>
      <w:r w:rsidRPr="00EA4C1F">
        <w:rPr>
          <w:rFonts w:ascii="Times New Roman" w:eastAsia="Times New Roman" w:hAnsi="Times New Roman" w:cs="Times New Roman"/>
          <w:sz w:val="24"/>
          <w:szCs w:val="24"/>
        </w:rPr>
        <w:lastRenderedPageBreak/>
        <w:t>sensibilidad del resultado y por la amplitud razonable de interpretaciones y supuestos que pueden hacerse sobre ella.</w:t>
      </w:r>
    </w:p>
    <w:p w14:paraId="00000161" w14:textId="07CBFB17"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 xml:space="preserve">En cuarto lugar, la cuantificación del Ajuste por Riesgo No Financiero es una buena herramienta para reflejar explícitamente la incertidumbre y resguardarse ante ramos o </w:t>
      </w:r>
      <w:proofErr w:type="spellStart"/>
      <w:r w:rsidRPr="00EA4C1F">
        <w:rPr>
          <w:rFonts w:ascii="Times New Roman" w:eastAsia="Times New Roman" w:hAnsi="Times New Roman" w:cs="Times New Roman"/>
          <w:sz w:val="24"/>
          <w:szCs w:val="24"/>
        </w:rPr>
        <w:t>sub-ramos</w:t>
      </w:r>
      <w:proofErr w:type="spellEnd"/>
      <w:r w:rsidRPr="00EA4C1F">
        <w:rPr>
          <w:rFonts w:ascii="Times New Roman" w:eastAsia="Times New Roman" w:hAnsi="Times New Roman" w:cs="Times New Roman"/>
          <w:sz w:val="24"/>
          <w:szCs w:val="24"/>
        </w:rPr>
        <w:t xml:space="preserve"> volátiles. En esta tesina, el RA se estimó a partir de distribuciones empíricas del valor presente mediante </w:t>
      </w:r>
      <w:proofErr w:type="spellStart"/>
      <w:r w:rsidRPr="00EA4C1F">
        <w:rPr>
          <w:rFonts w:ascii="Times New Roman" w:eastAsia="Times New Roman" w:hAnsi="Times New Roman" w:cs="Times New Roman"/>
          <w:sz w:val="24"/>
          <w:szCs w:val="24"/>
        </w:rPr>
        <w:t>remuestreo</w:t>
      </w:r>
      <w:proofErr w:type="spellEnd"/>
      <w:r w:rsidRPr="00EA4C1F">
        <w:rPr>
          <w:rFonts w:ascii="Times New Roman" w:eastAsia="Times New Roman" w:hAnsi="Times New Roman" w:cs="Times New Roman"/>
          <w:sz w:val="24"/>
          <w:szCs w:val="24"/>
        </w:rPr>
        <w:t xml:space="preserve">. La evidencia de asimetría y cola derecha sugiere que un enfoque determinístico tiende a </w:t>
      </w:r>
      <w:proofErr w:type="spellStart"/>
      <w:r w:rsidRPr="00EA4C1F">
        <w:rPr>
          <w:rFonts w:ascii="Times New Roman" w:eastAsia="Times New Roman" w:hAnsi="Times New Roman" w:cs="Times New Roman"/>
          <w:sz w:val="24"/>
          <w:szCs w:val="24"/>
        </w:rPr>
        <w:t>subrrepresentar</w:t>
      </w:r>
      <w:proofErr w:type="spellEnd"/>
      <w:r w:rsidRPr="00EA4C1F">
        <w:rPr>
          <w:rFonts w:ascii="Times New Roman" w:eastAsia="Times New Roman" w:hAnsi="Times New Roman" w:cs="Times New Roman"/>
          <w:sz w:val="24"/>
          <w:szCs w:val="24"/>
        </w:rPr>
        <w:t xml:space="preserve"> la incertidumbre, lo que resalta la importancia de este componente.  No obstante, el nivel del ajuste depende de las decisiones tomadas en etapas previas (actualización, proyección, extrapolación y descuento), por lo que su estimación requiere coherencia de supuestos anteriores, calidad de datos y controles para evitar amplificar ruido</w:t>
      </w:r>
      <w:r w:rsidR="0077614E">
        <w:rPr>
          <w:rFonts w:ascii="Times New Roman" w:eastAsia="Times New Roman" w:hAnsi="Times New Roman" w:cs="Times New Roman"/>
          <w:sz w:val="24"/>
          <w:szCs w:val="24"/>
        </w:rPr>
        <w:t xml:space="preserve">, </w:t>
      </w:r>
      <w:r w:rsidRPr="00EA4C1F">
        <w:rPr>
          <w:rFonts w:ascii="Times New Roman" w:eastAsia="Times New Roman" w:hAnsi="Times New Roman" w:cs="Times New Roman"/>
          <w:sz w:val="24"/>
          <w:szCs w:val="24"/>
        </w:rPr>
        <w:t>sobreestima</w:t>
      </w:r>
      <w:r w:rsidR="0077614E">
        <w:rPr>
          <w:rFonts w:ascii="Times New Roman" w:eastAsia="Times New Roman" w:hAnsi="Times New Roman" w:cs="Times New Roman"/>
          <w:sz w:val="24"/>
          <w:szCs w:val="24"/>
        </w:rPr>
        <w:t>ndo así,</w:t>
      </w:r>
      <w:r w:rsidRPr="00EA4C1F">
        <w:rPr>
          <w:rFonts w:ascii="Times New Roman" w:eastAsia="Times New Roman" w:hAnsi="Times New Roman" w:cs="Times New Roman"/>
          <w:sz w:val="24"/>
          <w:szCs w:val="24"/>
        </w:rPr>
        <w:t xml:space="preserve"> la incertidumbre de la estimación.</w:t>
      </w:r>
    </w:p>
    <w:p w14:paraId="00000162" w14:textId="3A7B77CF" w:rsidR="00E6009A" w:rsidRPr="00EA4C1F" w:rsidRDefault="00000000" w:rsidP="00EA4C1F">
      <w:pPr>
        <w:spacing w:line="480" w:lineRule="auto"/>
        <w:jc w:val="both"/>
        <w:rPr>
          <w:rFonts w:ascii="Times New Roman" w:eastAsia="Times New Roman" w:hAnsi="Times New Roman" w:cs="Times New Roman"/>
          <w:sz w:val="24"/>
          <w:szCs w:val="24"/>
        </w:rPr>
      </w:pPr>
      <w:r w:rsidRPr="00EA4C1F">
        <w:rPr>
          <w:rFonts w:ascii="Times New Roman" w:eastAsia="Times New Roman" w:hAnsi="Times New Roman" w:cs="Times New Roman"/>
          <w:sz w:val="24"/>
          <w:szCs w:val="24"/>
        </w:rPr>
        <w:t>En conclusión, un enfoque normativo como IFRS 17</w:t>
      </w:r>
      <w:sdt>
        <w:sdtPr>
          <w:rPr>
            <w:rFonts w:ascii="Times New Roman" w:eastAsia="Times New Roman" w:hAnsi="Times New Roman" w:cs="Times New Roman"/>
            <w:sz w:val="24"/>
            <w:szCs w:val="24"/>
          </w:rPr>
          <w:id w:val="1687713199"/>
          <w:citation/>
        </w:sdtPr>
        <w:sdtContent>
          <w:r w:rsidR="0077614E">
            <w:rPr>
              <w:rFonts w:ascii="Times New Roman" w:eastAsia="Times New Roman" w:hAnsi="Times New Roman" w:cs="Times New Roman"/>
              <w:sz w:val="24"/>
              <w:szCs w:val="24"/>
            </w:rPr>
            <w:fldChar w:fldCharType="begin"/>
          </w:r>
          <w:r w:rsidR="0077614E" w:rsidRPr="0077614E">
            <w:rPr>
              <w:rFonts w:ascii="Times New Roman" w:eastAsia="Times New Roman" w:hAnsi="Times New Roman" w:cs="Times New Roman"/>
              <w:sz w:val="24"/>
              <w:szCs w:val="24"/>
            </w:rPr>
            <w:instrText xml:space="preserve"> CITATION IFRS17 \l 1033 </w:instrText>
          </w:r>
          <w:r w:rsidR="0077614E">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(International Accounting Standards Board, 2017)</w:t>
          </w:r>
          <w:r w:rsidR="0077614E">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xml:space="preserve"> permite una medición más integral y eficaz del riesgo que el RGAA</w:t>
      </w:r>
      <w:sdt>
        <w:sdtPr>
          <w:rPr>
            <w:rFonts w:ascii="Times New Roman" w:eastAsia="Times New Roman" w:hAnsi="Times New Roman" w:cs="Times New Roman"/>
            <w:sz w:val="24"/>
            <w:szCs w:val="24"/>
          </w:rPr>
          <w:id w:val="77874279"/>
          <w:citation/>
        </w:sdtPr>
        <w:sdtContent>
          <w:r w:rsidR="0077614E">
            <w:rPr>
              <w:rFonts w:ascii="Times New Roman" w:eastAsia="Times New Roman" w:hAnsi="Times New Roman" w:cs="Times New Roman"/>
              <w:sz w:val="24"/>
              <w:szCs w:val="24"/>
            </w:rPr>
            <w:fldChar w:fldCharType="begin"/>
          </w:r>
          <w:r w:rsidR="0077614E" w:rsidRPr="0077614E">
            <w:rPr>
              <w:rFonts w:ascii="Times New Roman" w:eastAsia="Times New Roman" w:hAnsi="Times New Roman" w:cs="Times New Roman"/>
              <w:sz w:val="24"/>
              <w:szCs w:val="24"/>
            </w:rPr>
            <w:instrText xml:space="preserve"> CITATION RGAA \l 1033 </w:instrText>
          </w:r>
          <w:r w:rsidR="0077614E">
            <w:rPr>
              <w:rFonts w:ascii="Times New Roman" w:eastAsia="Times New Roman" w:hAnsi="Times New Roman" w:cs="Times New Roman"/>
              <w:sz w:val="24"/>
              <w:szCs w:val="24"/>
            </w:rPr>
            <w:fldChar w:fldCharType="separate"/>
          </w:r>
          <w:r w:rsidR="00962F7A">
            <w:rPr>
              <w:rFonts w:ascii="Times New Roman" w:eastAsia="Times New Roman" w:hAnsi="Times New Roman" w:cs="Times New Roman"/>
              <w:noProof/>
              <w:sz w:val="24"/>
              <w:szCs w:val="24"/>
            </w:rPr>
            <w:t xml:space="preserve"> </w:t>
          </w:r>
          <w:r w:rsidR="00962F7A" w:rsidRPr="00962F7A">
            <w:rPr>
              <w:rFonts w:ascii="Times New Roman" w:eastAsia="Times New Roman" w:hAnsi="Times New Roman" w:cs="Times New Roman"/>
              <w:noProof/>
              <w:sz w:val="24"/>
              <w:szCs w:val="24"/>
            </w:rPr>
            <w:t>(Superintendencia de Seguros de la Nación, 2014)</w:t>
          </w:r>
          <w:r w:rsidR="0077614E">
            <w:rPr>
              <w:rFonts w:ascii="Times New Roman" w:eastAsia="Times New Roman" w:hAnsi="Times New Roman" w:cs="Times New Roman"/>
              <w:sz w:val="24"/>
              <w:szCs w:val="24"/>
            </w:rPr>
            <w:fldChar w:fldCharType="end"/>
          </w:r>
        </w:sdtContent>
      </w:sdt>
      <w:r w:rsidRPr="00EA4C1F">
        <w:rPr>
          <w:rFonts w:ascii="Times New Roman" w:eastAsia="Times New Roman" w:hAnsi="Times New Roman" w:cs="Times New Roman"/>
          <w:sz w:val="24"/>
          <w:szCs w:val="24"/>
        </w:rPr>
        <w:t>, sin embargo, en el contexto local, la ganancia conceptual debe balancearse con la complejidad de implementación y la sensibilidad de los supuestos para asegurar resultados trazables, estables y que ayuden a la previsibilidad.</w:t>
      </w:r>
    </w:p>
    <w:p w14:paraId="00000163" w14:textId="77777777" w:rsidR="00E6009A" w:rsidRPr="00EA4C1F" w:rsidRDefault="00E6009A" w:rsidP="00EA4C1F">
      <w:pPr>
        <w:jc w:val="both"/>
        <w:rPr>
          <w:rFonts w:ascii="Times New Roman" w:hAnsi="Times New Roman" w:cs="Times New Roman"/>
        </w:rPr>
      </w:pPr>
    </w:p>
    <w:p w14:paraId="3DF9A82E" w14:textId="77777777" w:rsidR="0077614E" w:rsidRDefault="00000000" w:rsidP="0077614E">
      <w:pPr>
        <w:pStyle w:val="Heading1"/>
        <w:numPr>
          <w:ilvl w:val="0"/>
          <w:numId w:val="3"/>
        </w:numPr>
      </w:pPr>
      <w:bookmarkStart w:id="40" w:name="_Toc221446761"/>
      <w:proofErr w:type="spellStart"/>
      <w:r w:rsidRPr="00EA4C1F">
        <w:t>Anexo</w:t>
      </w:r>
      <w:bookmarkEnd w:id="40"/>
      <w:proofErr w:type="spellEnd"/>
    </w:p>
    <w:sdt>
      <w:sdtPr>
        <w:id w:val="817150943"/>
        <w:docPartObj>
          <w:docPartGallery w:val="Bibliographies"/>
          <w:docPartUnique/>
        </w:docPartObj>
      </w:sdtPr>
      <w:sdtEndPr>
        <w:rPr>
          <w:rFonts w:ascii="Aptos" w:eastAsia="Aptos" w:hAnsi="Aptos" w:cs="Aptos"/>
          <w:color w:val="auto"/>
          <w:sz w:val="22"/>
          <w:szCs w:val="22"/>
        </w:rPr>
      </w:sdtEndPr>
      <w:sdtContent>
        <w:p w14:paraId="0C3DAA1C" w14:textId="3701BF62" w:rsidR="0077614E" w:rsidRDefault="0077614E" w:rsidP="0077614E">
          <w:pPr>
            <w:pStyle w:val="Heading1"/>
            <w:numPr>
              <w:ilvl w:val="0"/>
              <w:numId w:val="3"/>
            </w:numPr>
          </w:pPr>
          <w:r>
            <w:t>Referenc</w:t>
          </w:r>
          <w:r w:rsidR="00962F7A">
            <w:t>ias</w:t>
          </w:r>
        </w:p>
        <w:sdt>
          <w:sdtPr>
            <w:id w:val="-573587230"/>
            <w:bibliography/>
          </w:sdtPr>
          <w:sdtContent>
            <w:p w14:paraId="47CAD207" w14:textId="77777777" w:rsidR="00962F7A" w:rsidRDefault="0077614E" w:rsidP="00962F7A">
              <w:pPr>
                <w:pStyle w:val="Bibliography"/>
                <w:ind w:left="720" w:hanging="720"/>
                <w:rPr>
                  <w:noProof/>
                  <w:sz w:val="24"/>
                  <w:szCs w:val="24"/>
                </w:rPr>
              </w:pPr>
              <w:r>
                <w:fldChar w:fldCharType="begin"/>
              </w:r>
              <w:r>
                <w:instrText xml:space="preserve"> BIBLIOGRAPHY </w:instrText>
              </w:r>
              <w:r>
                <w:fldChar w:fldCharType="separate"/>
              </w:r>
              <w:r w:rsidR="00962F7A">
                <w:rPr>
                  <w:noProof/>
                </w:rPr>
                <w:t xml:space="preserve">Senado y la Cámara de Diputados de la Nación Argentina. (1994). </w:t>
              </w:r>
              <w:r w:rsidR="00962F7A">
                <w:rPr>
                  <w:i/>
                  <w:iCs/>
                  <w:noProof/>
                </w:rPr>
                <w:t>Ley N° 24.449.</w:t>
              </w:r>
              <w:r w:rsidR="00962F7A">
                <w:rPr>
                  <w:noProof/>
                </w:rPr>
                <w:t xml:space="preserve"> </w:t>
              </w:r>
            </w:p>
            <w:p w14:paraId="4AE824FE" w14:textId="77777777" w:rsidR="00962F7A" w:rsidRPr="00962F7A" w:rsidRDefault="00962F7A" w:rsidP="00962F7A">
              <w:pPr>
                <w:pStyle w:val="Bibliography"/>
                <w:ind w:left="720" w:hanging="720"/>
                <w:rPr>
                  <w:noProof/>
                  <w:lang w:val="en-US"/>
                </w:rPr>
              </w:pPr>
              <w:r>
                <w:rPr>
                  <w:noProof/>
                </w:rPr>
                <w:t xml:space="preserve">Federación Argentina de Consejos Profesionales de Ciencias Económicas. (2018). Resolución de Junta de Gobierno N° 539/18. Normas para que los estados contables se expresen en </w:t>
              </w:r>
              <w:r>
                <w:rPr>
                  <w:noProof/>
                </w:rPr>
                <w:lastRenderedPageBreak/>
                <w:t xml:space="preserve">moneda del poder adquisitivo de cierre en un contexto de inflación. </w:t>
              </w:r>
              <w:r w:rsidRPr="00962F7A">
                <w:rPr>
                  <w:noProof/>
                  <w:lang w:val="en-US"/>
                </w:rPr>
                <w:t>Obtenido de https://www.facpce.org.ar/pdf/RESJG539-18.pdf</w:t>
              </w:r>
            </w:p>
            <w:p w14:paraId="46E004EE" w14:textId="77777777" w:rsidR="00962F7A" w:rsidRPr="00962F7A" w:rsidRDefault="00962F7A" w:rsidP="00962F7A">
              <w:pPr>
                <w:pStyle w:val="Bibliography"/>
                <w:ind w:left="720" w:hanging="720"/>
                <w:rPr>
                  <w:noProof/>
                  <w:lang w:val="en-US"/>
                </w:rPr>
              </w:pPr>
              <w:r w:rsidRPr="00962F7A">
                <w:rPr>
                  <w:noProof/>
                  <w:lang w:val="en-US"/>
                </w:rPr>
                <w:t xml:space="preserve">International Accounting Standards Board. (2004). </w:t>
              </w:r>
              <w:r w:rsidRPr="00962F7A">
                <w:rPr>
                  <w:i/>
                  <w:iCs/>
                  <w:noProof/>
                  <w:lang w:val="en-US"/>
                </w:rPr>
                <w:t>International Financial Reporting Standards 4.</w:t>
              </w:r>
              <w:r w:rsidRPr="00962F7A">
                <w:rPr>
                  <w:noProof/>
                  <w:lang w:val="en-US"/>
                </w:rPr>
                <w:t xml:space="preserve"> </w:t>
              </w:r>
            </w:p>
            <w:p w14:paraId="1B2A0471" w14:textId="77777777" w:rsidR="00962F7A" w:rsidRPr="00962F7A" w:rsidRDefault="00962F7A" w:rsidP="00962F7A">
              <w:pPr>
                <w:pStyle w:val="Bibliography"/>
                <w:ind w:left="720" w:hanging="720"/>
                <w:rPr>
                  <w:noProof/>
                  <w:lang w:val="en-US"/>
                </w:rPr>
              </w:pPr>
              <w:r w:rsidRPr="00962F7A">
                <w:rPr>
                  <w:noProof/>
                  <w:lang w:val="en-US"/>
                </w:rPr>
                <w:t xml:space="preserve">International Accounting Standards Board. (2017). </w:t>
              </w:r>
              <w:r w:rsidRPr="00962F7A">
                <w:rPr>
                  <w:i/>
                  <w:iCs/>
                  <w:noProof/>
                  <w:lang w:val="en-US"/>
                </w:rPr>
                <w:t>International Financial Reporting Standards: 17.</w:t>
              </w:r>
              <w:r w:rsidRPr="00962F7A">
                <w:rPr>
                  <w:noProof/>
                  <w:lang w:val="en-US"/>
                </w:rPr>
                <w:t xml:space="preserve"> </w:t>
              </w:r>
            </w:p>
            <w:p w14:paraId="35F91EB2" w14:textId="77777777" w:rsidR="00962F7A" w:rsidRPr="00962F7A" w:rsidRDefault="00962F7A" w:rsidP="00962F7A">
              <w:pPr>
                <w:pStyle w:val="Bibliography"/>
                <w:ind w:left="720" w:hanging="720"/>
                <w:rPr>
                  <w:noProof/>
                  <w:lang w:val="en-US"/>
                </w:rPr>
              </w:pPr>
              <w:r w:rsidRPr="00962F7A">
                <w:rPr>
                  <w:noProof/>
                  <w:lang w:val="en-US"/>
                </w:rPr>
                <w:t xml:space="preserve">JP Morgan. (2005). </w:t>
              </w:r>
              <w:r w:rsidRPr="00962F7A">
                <w:rPr>
                  <w:i/>
                  <w:iCs/>
                  <w:noProof/>
                  <w:lang w:val="en-US"/>
                </w:rPr>
                <w:t>Credit Derivatives: A Primer. JP Morgan Credit Derivatives and Quantitative Research.</w:t>
              </w:r>
              <w:r w:rsidRPr="00962F7A">
                <w:rPr>
                  <w:noProof/>
                  <w:lang w:val="en-US"/>
                </w:rPr>
                <w:t xml:space="preserve"> </w:t>
              </w:r>
            </w:p>
            <w:p w14:paraId="311B5C9F" w14:textId="77777777" w:rsidR="00962F7A" w:rsidRPr="00962F7A" w:rsidRDefault="00962F7A" w:rsidP="00962F7A">
              <w:pPr>
                <w:pStyle w:val="Bibliography"/>
                <w:ind w:left="720" w:hanging="720"/>
                <w:rPr>
                  <w:noProof/>
                  <w:lang w:val="en-US"/>
                </w:rPr>
              </w:pPr>
              <w:r>
                <w:rPr>
                  <w:noProof/>
                </w:rPr>
                <w:t xml:space="preserve">Nelson, C. R., &amp; Siegel, A. F. (1987). </w:t>
              </w:r>
              <w:r w:rsidRPr="00962F7A">
                <w:rPr>
                  <w:noProof/>
                  <w:lang w:val="en-US"/>
                </w:rPr>
                <w:t xml:space="preserve">Parsimonious modeling of yield curves. </w:t>
              </w:r>
              <w:r w:rsidRPr="00962F7A">
                <w:rPr>
                  <w:i/>
                  <w:iCs/>
                  <w:noProof/>
                  <w:lang w:val="en-US"/>
                </w:rPr>
                <w:t>The Journal of Business, 60</w:t>
              </w:r>
              <w:r w:rsidRPr="00962F7A">
                <w:rPr>
                  <w:noProof/>
                  <w:lang w:val="en-US"/>
                </w:rPr>
                <w:t>(4), 473-489. doi:10.1086/296409</w:t>
              </w:r>
            </w:p>
            <w:p w14:paraId="01BCFDF5" w14:textId="77777777" w:rsidR="00962F7A" w:rsidRDefault="00962F7A" w:rsidP="00962F7A">
              <w:pPr>
                <w:pStyle w:val="Bibliography"/>
                <w:ind w:left="720" w:hanging="720"/>
                <w:rPr>
                  <w:noProof/>
                </w:rPr>
              </w:pPr>
              <w:r w:rsidRPr="00962F7A">
                <w:rPr>
                  <w:noProof/>
                  <w:lang w:val="en-US"/>
                </w:rPr>
                <w:t xml:space="preserve">SHERMAN, R. E. (1999). </w:t>
              </w:r>
              <w:r w:rsidRPr="00962F7A">
                <w:rPr>
                  <w:i/>
                  <w:iCs/>
                  <w:noProof/>
                  <w:lang w:val="en-US"/>
                </w:rPr>
                <w:t>EXTRAPOLATING, SMOOTHlNG, AND INTERPOLATING DEVELOPMENT FACTORS.</w:t>
              </w:r>
              <w:r w:rsidRPr="00962F7A">
                <w:rPr>
                  <w:noProof/>
                  <w:lang w:val="en-US"/>
                </w:rPr>
                <w:t xml:space="preserve"> </w:t>
              </w:r>
              <w:r>
                <w:rPr>
                  <w:noProof/>
                </w:rPr>
                <w:t>Obtenido de https://www.casact.org/sites/default/files/database/proceed_proceed84_84122.pdf</w:t>
              </w:r>
            </w:p>
            <w:p w14:paraId="4A674A57" w14:textId="77777777" w:rsidR="00962F7A" w:rsidRDefault="00962F7A" w:rsidP="00962F7A">
              <w:pPr>
                <w:pStyle w:val="Bibliography"/>
                <w:ind w:left="720" w:hanging="720"/>
                <w:rPr>
                  <w:noProof/>
                </w:rPr>
              </w:pPr>
              <w:r>
                <w:rPr>
                  <w:noProof/>
                </w:rPr>
                <w:t xml:space="preserve">Superintencencia de Seguros de la Nación. (1967). </w:t>
              </w:r>
              <w:r>
                <w:rPr>
                  <w:i/>
                  <w:iCs/>
                  <w:noProof/>
                </w:rPr>
                <w:t>Ley N° 17418.</w:t>
              </w:r>
              <w:r>
                <w:rPr>
                  <w:noProof/>
                </w:rPr>
                <w:t xml:space="preserve"> Obtenido de https://servicios.infoleg.gob.ar/infolegInternet/anexos/35000-39999/39520/norma.htm</w:t>
              </w:r>
            </w:p>
            <w:p w14:paraId="779BB722" w14:textId="77777777" w:rsidR="00962F7A" w:rsidRDefault="00962F7A" w:rsidP="00962F7A">
              <w:pPr>
                <w:pStyle w:val="Bibliography"/>
                <w:ind w:left="720" w:hanging="720"/>
                <w:rPr>
                  <w:noProof/>
                </w:rPr>
              </w:pPr>
              <w:r>
                <w:rPr>
                  <w:noProof/>
                </w:rPr>
                <w:t xml:space="preserve">Superintencencia de Seguros de la Nación. (2023). </w:t>
              </w:r>
              <w:r>
                <w:rPr>
                  <w:i/>
                  <w:iCs/>
                  <w:noProof/>
                </w:rPr>
                <w:t>RESOL-2023-353-APN-SSN#ME.</w:t>
              </w:r>
              <w:r>
                <w:rPr>
                  <w:noProof/>
                </w:rPr>
                <w:t xml:space="preserve"> </w:t>
              </w:r>
            </w:p>
            <w:p w14:paraId="2BCD87CB" w14:textId="77777777" w:rsidR="00962F7A" w:rsidRDefault="00962F7A" w:rsidP="00962F7A">
              <w:pPr>
                <w:pStyle w:val="Bibliography"/>
                <w:ind w:left="720" w:hanging="720"/>
                <w:rPr>
                  <w:noProof/>
                </w:rPr>
              </w:pPr>
              <w:r>
                <w:rPr>
                  <w:noProof/>
                </w:rPr>
                <w:t xml:space="preserve">Superintendencia de Seguros de la Nación. (2014). </w:t>
              </w:r>
              <w:r>
                <w:rPr>
                  <w:i/>
                  <w:iCs/>
                  <w:noProof/>
                </w:rPr>
                <w:t>Reglamento General de la Actividad Aseguradora.</w:t>
              </w:r>
              <w:r>
                <w:rPr>
                  <w:noProof/>
                </w:rPr>
                <w:t xml:space="preserve"> </w:t>
              </w:r>
            </w:p>
            <w:p w14:paraId="06DF34B7" w14:textId="77777777" w:rsidR="00962F7A" w:rsidRDefault="00962F7A" w:rsidP="00962F7A">
              <w:pPr>
                <w:pStyle w:val="Bibliography"/>
                <w:ind w:left="720" w:hanging="720"/>
                <w:rPr>
                  <w:noProof/>
                </w:rPr>
              </w:pPr>
              <w:r>
                <w:rPr>
                  <w:noProof/>
                </w:rPr>
                <w:t>Superintendencia de Seguros de la Nación. (2025). RESOL-2025-387-APN-SSN#MEC. Superintendencia de Seguros de la Nación.</w:t>
              </w:r>
            </w:p>
            <w:p w14:paraId="3BF60C46" w14:textId="77777777" w:rsidR="00962F7A" w:rsidRDefault="00962F7A" w:rsidP="00962F7A">
              <w:pPr>
                <w:pStyle w:val="Bibliography"/>
                <w:ind w:left="720" w:hanging="720"/>
                <w:rPr>
                  <w:noProof/>
                </w:rPr>
              </w:pPr>
              <w:r w:rsidRPr="00962F7A">
                <w:rPr>
                  <w:noProof/>
                  <w:lang w:val="en-US"/>
                </w:rPr>
                <w:t xml:space="preserve">Swiss Re Institute. (2024). </w:t>
              </w:r>
              <w:r w:rsidRPr="00962F7A">
                <w:rPr>
                  <w:i/>
                  <w:iCs/>
                  <w:noProof/>
                  <w:lang w:val="en-US"/>
                </w:rPr>
                <w:t>Latin America market report 2024: Growth to decelerate as global risks rise.</w:t>
              </w:r>
              <w:r w:rsidRPr="00962F7A">
                <w:rPr>
                  <w:noProof/>
                  <w:lang w:val="en-US"/>
                </w:rPr>
                <w:t xml:space="preserve"> </w:t>
              </w:r>
              <w:r>
                <w:rPr>
                  <w:noProof/>
                </w:rPr>
                <w:t>Swiss Re Institute. Obtenido de https://www.swissre.com/dam/jcr%3Aecf50ea0-a7a6-4ff0-91ee-84df20fd1f47/swiss-re-institute-expertise-publication-latam-regional-market-report-2024.pdf</w:t>
              </w:r>
            </w:p>
            <w:p w14:paraId="6941B152" w14:textId="77777777" w:rsidR="00962F7A" w:rsidRDefault="00962F7A" w:rsidP="00962F7A">
              <w:pPr>
                <w:pStyle w:val="Bibliography"/>
                <w:ind w:left="720" w:hanging="720"/>
                <w:rPr>
                  <w:noProof/>
                </w:rPr>
              </w:pPr>
              <w:r w:rsidRPr="00962F7A">
                <w:rPr>
                  <w:noProof/>
                  <w:lang w:val="en-US"/>
                </w:rPr>
                <w:t xml:space="preserve">Verrall, P. D. (2002). Stochastic Claims Reserving in General Insurance. </w:t>
              </w:r>
              <w:r>
                <w:rPr>
                  <w:i/>
                  <w:iCs/>
                  <w:noProof/>
                </w:rPr>
                <w:t>British Actuarial Journal</w:t>
              </w:r>
              <w:r>
                <w:rPr>
                  <w:noProof/>
                </w:rPr>
                <w:t>. doi:10.1017/S1357321700003809</w:t>
              </w:r>
            </w:p>
            <w:p w14:paraId="34B3A926" w14:textId="148805C8" w:rsidR="0077614E" w:rsidRDefault="0077614E" w:rsidP="00962F7A">
              <w:r>
                <w:rPr>
                  <w:b/>
                  <w:bCs/>
                  <w:noProof/>
                </w:rPr>
                <w:fldChar w:fldCharType="end"/>
              </w:r>
            </w:p>
          </w:sdtContent>
        </w:sdt>
      </w:sdtContent>
    </w:sdt>
    <w:p w14:paraId="03258216" w14:textId="77777777" w:rsidR="0077614E" w:rsidRPr="0077614E" w:rsidRDefault="0077614E" w:rsidP="0077614E"/>
    <w:p w14:paraId="00000166" w14:textId="77777777" w:rsidR="00E6009A" w:rsidRPr="00EA4C1F" w:rsidRDefault="00E6009A" w:rsidP="00EA4C1F">
      <w:pPr>
        <w:jc w:val="both"/>
        <w:rPr>
          <w:rFonts w:ascii="Times New Roman" w:hAnsi="Times New Roman" w:cs="Times New Roman"/>
        </w:rPr>
      </w:pPr>
    </w:p>
    <w:p w14:paraId="00000167" w14:textId="77777777" w:rsidR="00E6009A" w:rsidRPr="00EA4C1F" w:rsidRDefault="00E6009A" w:rsidP="00EA4C1F">
      <w:pPr>
        <w:jc w:val="both"/>
        <w:rPr>
          <w:rFonts w:ascii="Times New Roman" w:hAnsi="Times New Roman" w:cs="Times New Roman"/>
        </w:rPr>
      </w:pPr>
    </w:p>
    <w:p w14:paraId="00000168" w14:textId="177CBC1C" w:rsidR="00E6009A" w:rsidRPr="00EA4C1F" w:rsidRDefault="00E6009A" w:rsidP="00EA4C1F">
      <w:pPr>
        <w:jc w:val="both"/>
        <w:rPr>
          <w:rFonts w:ascii="Times New Roman" w:eastAsia="Times New Roman" w:hAnsi="Times New Roman" w:cs="Times New Roman"/>
        </w:rPr>
      </w:pPr>
    </w:p>
    <w:p w14:paraId="00000169" w14:textId="77777777" w:rsidR="00E6009A" w:rsidRPr="00EA4C1F" w:rsidRDefault="00E6009A" w:rsidP="00EA4C1F">
      <w:pPr>
        <w:jc w:val="both"/>
        <w:rPr>
          <w:rFonts w:ascii="Times New Roman" w:eastAsia="Times New Roman" w:hAnsi="Times New Roman" w:cs="Times New Roman"/>
        </w:rPr>
      </w:pPr>
    </w:p>
    <w:sectPr w:rsidR="00E6009A" w:rsidRPr="00EA4C1F">
      <w:headerReference w:type="default" r:id="rId3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Dan Burs" w:date="2025-11-11T17:58:00Z" w:initials="">
    <w:p w14:paraId="000001A7" w14:textId="77777777" w:rsidR="00E6009A"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El Goolge Docs cambió la fuente. Antes de pasar a PDF, poner todo en Times New Roman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A7" w16cid:durableId="000001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60A3" w14:textId="77777777" w:rsidR="00246650" w:rsidRDefault="00246650">
      <w:pPr>
        <w:spacing w:after="0" w:line="240" w:lineRule="auto"/>
      </w:pPr>
      <w:r>
        <w:separator/>
      </w:r>
    </w:p>
  </w:endnote>
  <w:endnote w:type="continuationSeparator" w:id="0">
    <w:p w14:paraId="159BB86C" w14:textId="77777777" w:rsidR="00246650" w:rsidRDefault="00246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9078160-A6E3-4DDD-B3AE-BB20E635E324}"/>
    <w:embedBold r:id="rId2" w:fontKey="{4E9994E5-8BC5-424D-BA5F-E18F8864305B}"/>
    <w:embedItalic r:id="rId3" w:fontKey="{F768D91D-B6C0-49B7-A097-9E0F02245C62}"/>
  </w:font>
  <w:font w:name="Play">
    <w:charset w:val="00"/>
    <w:family w:val="auto"/>
    <w:pitch w:val="default"/>
    <w:embedRegular r:id="rId4" w:fontKey="{91B957F9-BE21-4D2E-BC9A-41B25F241C62}"/>
  </w:font>
  <w:font w:name="Aptos Display">
    <w:charset w:val="00"/>
    <w:family w:val="swiss"/>
    <w:pitch w:val="variable"/>
    <w:sig w:usb0="20000287" w:usb1="00000003" w:usb2="00000000" w:usb3="00000000" w:csb0="0000019F" w:csb1="00000000"/>
    <w:embedRegular r:id="rId5" w:fontKey="{277C7389-E5B1-44B6-B0DE-66017F29DD5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988CDCB4-C9DE-49AD-A2BB-64FE9477F459}"/>
    <w:embedItalic r:id="rId7" w:fontKey="{6E036A63-B0DA-4B32-9354-7488224794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95546" w14:textId="77777777" w:rsidR="00246650" w:rsidRDefault="00246650">
      <w:pPr>
        <w:spacing w:after="0" w:line="240" w:lineRule="auto"/>
      </w:pPr>
      <w:r>
        <w:separator/>
      </w:r>
    </w:p>
  </w:footnote>
  <w:footnote w:type="continuationSeparator" w:id="0">
    <w:p w14:paraId="17EA69FB" w14:textId="77777777" w:rsidR="00246650" w:rsidRDefault="00246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A" w14:textId="7BD1861D" w:rsidR="00E6009A"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A4C1F">
      <w:rPr>
        <w:noProof/>
        <w:color w:val="000000"/>
      </w:rPr>
      <w:t>1</w:t>
    </w:r>
    <w:r>
      <w:rPr>
        <w:color w:val="000000"/>
      </w:rPr>
      <w:fldChar w:fldCharType="end"/>
    </w:r>
  </w:p>
  <w:p w14:paraId="0000016B" w14:textId="77777777" w:rsidR="00E6009A" w:rsidRDefault="00E6009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1C8"/>
    <w:multiLevelType w:val="multilevel"/>
    <w:tmpl w:val="4202C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C00033"/>
    <w:multiLevelType w:val="multilevel"/>
    <w:tmpl w:val="B24A3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B76A6"/>
    <w:multiLevelType w:val="multilevel"/>
    <w:tmpl w:val="FF5C3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630838"/>
    <w:multiLevelType w:val="multilevel"/>
    <w:tmpl w:val="FC8E8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B3DC1"/>
    <w:multiLevelType w:val="multilevel"/>
    <w:tmpl w:val="91D2AB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F6B4D6D"/>
    <w:multiLevelType w:val="multilevel"/>
    <w:tmpl w:val="6BF62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BF6FD2"/>
    <w:multiLevelType w:val="multilevel"/>
    <w:tmpl w:val="251E3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660FA3"/>
    <w:multiLevelType w:val="multilevel"/>
    <w:tmpl w:val="08C85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2C46BA"/>
    <w:multiLevelType w:val="multilevel"/>
    <w:tmpl w:val="17C42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A51B20"/>
    <w:multiLevelType w:val="multilevel"/>
    <w:tmpl w:val="8AE63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D22EF7"/>
    <w:multiLevelType w:val="multilevel"/>
    <w:tmpl w:val="DB526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031D47"/>
    <w:multiLevelType w:val="multilevel"/>
    <w:tmpl w:val="BD26D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DA263B"/>
    <w:multiLevelType w:val="multilevel"/>
    <w:tmpl w:val="C61478CA"/>
    <w:lvl w:ilvl="0">
      <w:start w:val="1"/>
      <w:numFmt w:val="decimal"/>
      <w:lvlText w:val="%1."/>
      <w:lvlJc w:val="right"/>
      <w:pPr>
        <w:ind w:left="720" w:hanging="360"/>
      </w:pPr>
      <w:rPr>
        <w:u w:val="none"/>
      </w:rPr>
    </w:lvl>
    <w:lvl w:ilvl="1">
      <w:start w:val="1"/>
      <w:numFmt w:val="decimal"/>
      <w:lvlText w:val="%1.%2."/>
      <w:lvlJc w:val="right"/>
      <w:pPr>
        <w:ind w:left="992" w:hanging="360"/>
      </w:pPr>
      <w:rPr>
        <w:u w:val="none"/>
      </w:rPr>
    </w:lvl>
    <w:lvl w:ilvl="2">
      <w:start w:val="1"/>
      <w:numFmt w:val="decimal"/>
      <w:lvlText w:val="%1.%2.%3."/>
      <w:lvlJc w:val="right"/>
      <w:pPr>
        <w:ind w:left="1133" w:hanging="359"/>
      </w:pPr>
      <w:rPr>
        <w:sz w:val="28"/>
        <w:szCs w:val="28"/>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5DFD0C5E"/>
    <w:multiLevelType w:val="multilevel"/>
    <w:tmpl w:val="288E2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5529FD"/>
    <w:multiLevelType w:val="multilevel"/>
    <w:tmpl w:val="EFBCA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36157B"/>
    <w:multiLevelType w:val="multilevel"/>
    <w:tmpl w:val="A6F81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2795173">
    <w:abstractNumId w:val="5"/>
  </w:num>
  <w:num w:numId="2" w16cid:durableId="802499571">
    <w:abstractNumId w:val="2"/>
  </w:num>
  <w:num w:numId="3" w16cid:durableId="274796376">
    <w:abstractNumId w:val="12"/>
  </w:num>
  <w:num w:numId="4" w16cid:durableId="1472944874">
    <w:abstractNumId w:val="3"/>
  </w:num>
  <w:num w:numId="5" w16cid:durableId="1740253939">
    <w:abstractNumId w:val="4"/>
  </w:num>
  <w:num w:numId="6" w16cid:durableId="791829273">
    <w:abstractNumId w:val="13"/>
  </w:num>
  <w:num w:numId="7" w16cid:durableId="1545941251">
    <w:abstractNumId w:val="0"/>
  </w:num>
  <w:num w:numId="8" w16cid:durableId="1959795589">
    <w:abstractNumId w:val="11"/>
  </w:num>
  <w:num w:numId="9" w16cid:durableId="239800149">
    <w:abstractNumId w:val="7"/>
  </w:num>
  <w:num w:numId="10" w16cid:durableId="1439332158">
    <w:abstractNumId w:val="14"/>
  </w:num>
  <w:num w:numId="11" w16cid:durableId="577055685">
    <w:abstractNumId w:val="6"/>
  </w:num>
  <w:num w:numId="12" w16cid:durableId="1039738837">
    <w:abstractNumId w:val="9"/>
  </w:num>
  <w:num w:numId="13" w16cid:durableId="593586179">
    <w:abstractNumId w:val="15"/>
  </w:num>
  <w:num w:numId="14" w16cid:durableId="1013341095">
    <w:abstractNumId w:val="10"/>
  </w:num>
  <w:num w:numId="15" w16cid:durableId="113986335">
    <w:abstractNumId w:val="8"/>
  </w:num>
  <w:num w:numId="16" w16cid:durableId="290601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9A"/>
    <w:rsid w:val="00001031"/>
    <w:rsid w:val="00012272"/>
    <w:rsid w:val="00063EE6"/>
    <w:rsid w:val="00070D71"/>
    <w:rsid w:val="00085488"/>
    <w:rsid w:val="000D2A0D"/>
    <w:rsid w:val="000E0986"/>
    <w:rsid w:val="000E27CD"/>
    <w:rsid w:val="00122F7F"/>
    <w:rsid w:val="001320FC"/>
    <w:rsid w:val="00161579"/>
    <w:rsid w:val="00176D78"/>
    <w:rsid w:val="001A57E5"/>
    <w:rsid w:val="00246650"/>
    <w:rsid w:val="00271F77"/>
    <w:rsid w:val="00344981"/>
    <w:rsid w:val="00397729"/>
    <w:rsid w:val="003D5A43"/>
    <w:rsid w:val="003E547B"/>
    <w:rsid w:val="00403D32"/>
    <w:rsid w:val="00453BCD"/>
    <w:rsid w:val="00467B4D"/>
    <w:rsid w:val="004820D9"/>
    <w:rsid w:val="004B19D0"/>
    <w:rsid w:val="004B20FD"/>
    <w:rsid w:val="004C61CD"/>
    <w:rsid w:val="00592576"/>
    <w:rsid w:val="005A566A"/>
    <w:rsid w:val="0060213D"/>
    <w:rsid w:val="00680293"/>
    <w:rsid w:val="006B04C3"/>
    <w:rsid w:val="006B4BBC"/>
    <w:rsid w:val="006B639C"/>
    <w:rsid w:val="006F6A3E"/>
    <w:rsid w:val="0077614E"/>
    <w:rsid w:val="00801C13"/>
    <w:rsid w:val="00820C22"/>
    <w:rsid w:val="00842834"/>
    <w:rsid w:val="008D1955"/>
    <w:rsid w:val="008E31FE"/>
    <w:rsid w:val="00937A8C"/>
    <w:rsid w:val="00962F7A"/>
    <w:rsid w:val="00963DD8"/>
    <w:rsid w:val="009B7E15"/>
    <w:rsid w:val="009C6DD8"/>
    <w:rsid w:val="009D5399"/>
    <w:rsid w:val="009D7B95"/>
    <w:rsid w:val="009F2A6A"/>
    <w:rsid w:val="00A32379"/>
    <w:rsid w:val="00A34680"/>
    <w:rsid w:val="00A47C53"/>
    <w:rsid w:val="00A640BE"/>
    <w:rsid w:val="00AA165E"/>
    <w:rsid w:val="00AC3384"/>
    <w:rsid w:val="00B774A2"/>
    <w:rsid w:val="00B97721"/>
    <w:rsid w:val="00BB3B66"/>
    <w:rsid w:val="00C2192E"/>
    <w:rsid w:val="00C9612E"/>
    <w:rsid w:val="00CA74F7"/>
    <w:rsid w:val="00CF592D"/>
    <w:rsid w:val="00D23CED"/>
    <w:rsid w:val="00D468D8"/>
    <w:rsid w:val="00D7170B"/>
    <w:rsid w:val="00D91861"/>
    <w:rsid w:val="00DB6F31"/>
    <w:rsid w:val="00E54813"/>
    <w:rsid w:val="00E6009A"/>
    <w:rsid w:val="00E7772D"/>
    <w:rsid w:val="00E82F76"/>
    <w:rsid w:val="00EA20AC"/>
    <w:rsid w:val="00EA4C1F"/>
    <w:rsid w:val="00EC126D"/>
    <w:rsid w:val="00F13250"/>
    <w:rsid w:val="00F33BE7"/>
    <w:rsid w:val="00F503AD"/>
    <w:rsid w:val="00F778F2"/>
    <w:rsid w:val="00FA14CE"/>
    <w:rsid w:val="00FC42E8"/>
    <w:rsid w:val="00FF34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3B81"/>
  <w15:docId w15:val="{05C7A1CD-EC2C-4C58-9A80-37DD9D8C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line="480" w:lineRule="auto"/>
      <w:jc w:val="both"/>
      <w:outlineLvl w:val="0"/>
    </w:pPr>
    <w:rPr>
      <w:rFonts w:ascii="Times New Roman" w:eastAsia="Times New Roman" w:hAnsi="Times New Roman" w:cs="Times New Roman"/>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31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31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1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77A"/>
    <w:rPr>
      <w:rFonts w:eastAsiaTheme="majorEastAsia" w:cstheme="majorBidi"/>
      <w:color w:val="272727" w:themeColor="text1" w:themeTint="D8"/>
    </w:rPr>
  </w:style>
  <w:style w:type="character" w:customStyle="1" w:styleId="TitleChar">
    <w:name w:val="Title Char"/>
    <w:basedOn w:val="DefaultParagraphFont"/>
    <w:link w:val="Title"/>
    <w:uiPriority w:val="10"/>
    <w:rsid w:val="0023177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31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77A"/>
    <w:pPr>
      <w:spacing w:before="160"/>
      <w:jc w:val="center"/>
    </w:pPr>
    <w:rPr>
      <w:i/>
      <w:iCs/>
      <w:color w:val="404040" w:themeColor="text1" w:themeTint="BF"/>
    </w:rPr>
  </w:style>
  <w:style w:type="character" w:customStyle="1" w:styleId="QuoteChar">
    <w:name w:val="Quote Char"/>
    <w:basedOn w:val="DefaultParagraphFont"/>
    <w:link w:val="Quote"/>
    <w:uiPriority w:val="29"/>
    <w:rsid w:val="0023177A"/>
    <w:rPr>
      <w:i/>
      <w:iCs/>
      <w:color w:val="404040" w:themeColor="text1" w:themeTint="BF"/>
    </w:rPr>
  </w:style>
  <w:style w:type="paragraph" w:styleId="ListParagraph">
    <w:name w:val="List Paragraph"/>
    <w:basedOn w:val="Normal"/>
    <w:uiPriority w:val="34"/>
    <w:qFormat/>
    <w:rsid w:val="0023177A"/>
    <w:pPr>
      <w:ind w:left="720"/>
      <w:contextualSpacing/>
    </w:pPr>
  </w:style>
  <w:style w:type="character" w:styleId="IntenseEmphasis">
    <w:name w:val="Intense Emphasis"/>
    <w:basedOn w:val="DefaultParagraphFont"/>
    <w:uiPriority w:val="21"/>
    <w:qFormat/>
    <w:rsid w:val="0023177A"/>
    <w:rPr>
      <w:i/>
      <w:iCs/>
      <w:color w:val="0F4761" w:themeColor="accent1" w:themeShade="BF"/>
    </w:rPr>
  </w:style>
  <w:style w:type="paragraph" w:styleId="IntenseQuote">
    <w:name w:val="Intense Quote"/>
    <w:basedOn w:val="Normal"/>
    <w:next w:val="Normal"/>
    <w:link w:val="IntenseQuoteChar"/>
    <w:uiPriority w:val="30"/>
    <w:qFormat/>
    <w:rsid w:val="00231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77A"/>
    <w:rPr>
      <w:i/>
      <w:iCs/>
      <w:color w:val="0F4761" w:themeColor="accent1" w:themeShade="BF"/>
    </w:rPr>
  </w:style>
  <w:style w:type="character" w:styleId="IntenseReference">
    <w:name w:val="Intense Reference"/>
    <w:basedOn w:val="DefaultParagraphFont"/>
    <w:uiPriority w:val="32"/>
    <w:qFormat/>
    <w:rsid w:val="0023177A"/>
    <w:rPr>
      <w:b/>
      <w:bCs/>
      <w:smallCaps/>
      <w:color w:val="0F4761" w:themeColor="accent1" w:themeShade="BF"/>
      <w:spacing w:val="5"/>
    </w:rPr>
  </w:style>
  <w:style w:type="character" w:styleId="Hyperlink">
    <w:name w:val="Hyperlink"/>
    <w:basedOn w:val="DefaultParagraphFont"/>
    <w:uiPriority w:val="99"/>
    <w:unhideWhenUsed/>
    <w:rsid w:val="0023177A"/>
    <w:rPr>
      <w:color w:val="467886" w:themeColor="hyperlink"/>
      <w:u w:val="single"/>
    </w:rPr>
  </w:style>
  <w:style w:type="paragraph" w:styleId="TOC1">
    <w:name w:val="toc 1"/>
    <w:basedOn w:val="Normal"/>
    <w:uiPriority w:val="39"/>
    <w:qFormat/>
    <w:rsid w:val="0023177A"/>
    <w:pPr>
      <w:widowControl w:val="0"/>
      <w:autoSpaceDE w:val="0"/>
      <w:autoSpaceDN w:val="0"/>
      <w:spacing w:before="119" w:after="0" w:line="240" w:lineRule="auto"/>
      <w:ind w:left="2016"/>
    </w:pPr>
    <w:rPr>
      <w:rFonts w:ascii="Times New Roman" w:eastAsia="Times New Roman" w:hAnsi="Times New Roman" w:cs="Times New Roman"/>
      <w:b/>
      <w:bCs/>
      <w:lang w:val="es-ES"/>
    </w:rPr>
  </w:style>
  <w:style w:type="paragraph" w:styleId="TOC2">
    <w:name w:val="toc 2"/>
    <w:basedOn w:val="Normal"/>
    <w:uiPriority w:val="39"/>
    <w:qFormat/>
    <w:rsid w:val="0023177A"/>
    <w:pPr>
      <w:widowControl w:val="0"/>
      <w:autoSpaceDE w:val="0"/>
      <w:autoSpaceDN w:val="0"/>
      <w:spacing w:before="119" w:after="0" w:line="240" w:lineRule="auto"/>
      <w:ind w:left="2623" w:hanging="387"/>
    </w:pPr>
    <w:rPr>
      <w:rFonts w:ascii="Times New Roman" w:eastAsia="Times New Roman" w:hAnsi="Times New Roman" w:cs="Times New Roman"/>
      <w:lang w:val="es-ES"/>
    </w:rPr>
  </w:style>
  <w:style w:type="paragraph" w:styleId="BodyText">
    <w:name w:val="Body Text"/>
    <w:basedOn w:val="Normal"/>
    <w:link w:val="BodyTextChar"/>
    <w:uiPriority w:val="1"/>
    <w:qFormat/>
    <w:rsid w:val="0023177A"/>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BodyTextChar">
    <w:name w:val="Body Text Char"/>
    <w:basedOn w:val="DefaultParagraphFont"/>
    <w:link w:val="BodyText"/>
    <w:uiPriority w:val="1"/>
    <w:rsid w:val="0023177A"/>
    <w:rPr>
      <w:rFonts w:ascii="Times New Roman" w:eastAsia="Times New Roman" w:hAnsi="Times New Roman" w:cs="Times New Roman"/>
      <w:sz w:val="24"/>
      <w:szCs w:val="24"/>
      <w:lang w:val="es-ES"/>
    </w:rPr>
  </w:style>
  <w:style w:type="paragraph" w:styleId="TOCHeading">
    <w:name w:val="TOC Heading"/>
    <w:basedOn w:val="Heading1"/>
    <w:next w:val="Normal"/>
    <w:uiPriority w:val="39"/>
    <w:unhideWhenUsed/>
    <w:qFormat/>
    <w:rsid w:val="0023177A"/>
    <w:pPr>
      <w:spacing w:before="240"/>
      <w:outlineLvl w:val="9"/>
    </w:pPr>
    <w:rPr>
      <w:sz w:val="32"/>
      <w:szCs w:val="32"/>
      <w:lang w:eastAsia="es-AR"/>
    </w:rPr>
  </w:style>
  <w:style w:type="character" w:styleId="UnresolvedMention">
    <w:name w:val="Unresolved Mention"/>
    <w:basedOn w:val="DefaultParagraphFont"/>
    <w:uiPriority w:val="99"/>
    <w:semiHidden/>
    <w:unhideWhenUsed/>
    <w:rsid w:val="0023177A"/>
    <w:rPr>
      <w:color w:val="605E5C"/>
      <w:shd w:val="clear" w:color="auto" w:fill="E1DFDD"/>
    </w:rPr>
  </w:style>
  <w:style w:type="paragraph" w:styleId="Header">
    <w:name w:val="header"/>
    <w:basedOn w:val="Normal"/>
    <w:link w:val="HeaderChar"/>
    <w:uiPriority w:val="99"/>
    <w:unhideWhenUsed/>
    <w:rsid w:val="00AA7F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F79"/>
    <w:rPr>
      <w:lang w:bidi="he-IL"/>
    </w:rPr>
  </w:style>
  <w:style w:type="paragraph" w:styleId="Footer">
    <w:name w:val="footer"/>
    <w:basedOn w:val="Normal"/>
    <w:link w:val="FooterChar"/>
    <w:uiPriority w:val="99"/>
    <w:unhideWhenUsed/>
    <w:rsid w:val="00AA7F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F79"/>
    <w:rPr>
      <w:lang w:bidi="he-IL"/>
    </w:rPr>
  </w:style>
  <w:style w:type="character" w:styleId="CommentReference">
    <w:name w:val="annotation reference"/>
    <w:basedOn w:val="DefaultParagraphFont"/>
    <w:uiPriority w:val="99"/>
    <w:semiHidden/>
    <w:unhideWhenUsed/>
    <w:rsid w:val="000550EE"/>
    <w:rPr>
      <w:sz w:val="16"/>
      <w:szCs w:val="16"/>
    </w:rPr>
  </w:style>
  <w:style w:type="paragraph" w:styleId="CommentText">
    <w:name w:val="annotation text"/>
    <w:basedOn w:val="Normal"/>
    <w:link w:val="CommentTextChar"/>
    <w:uiPriority w:val="99"/>
    <w:unhideWhenUsed/>
    <w:rsid w:val="000550EE"/>
    <w:pPr>
      <w:spacing w:line="240" w:lineRule="auto"/>
    </w:pPr>
    <w:rPr>
      <w:sz w:val="20"/>
      <w:szCs w:val="20"/>
    </w:rPr>
  </w:style>
  <w:style w:type="character" w:customStyle="1" w:styleId="CommentTextChar">
    <w:name w:val="Comment Text Char"/>
    <w:basedOn w:val="DefaultParagraphFont"/>
    <w:link w:val="CommentText"/>
    <w:uiPriority w:val="99"/>
    <w:rsid w:val="000550EE"/>
    <w:rPr>
      <w:sz w:val="20"/>
      <w:szCs w:val="20"/>
      <w:lang w:bidi="he-IL"/>
    </w:rPr>
  </w:style>
  <w:style w:type="paragraph" w:styleId="CommentSubject">
    <w:name w:val="annotation subject"/>
    <w:basedOn w:val="CommentText"/>
    <w:next w:val="CommentText"/>
    <w:link w:val="CommentSubjectChar"/>
    <w:uiPriority w:val="99"/>
    <w:semiHidden/>
    <w:unhideWhenUsed/>
    <w:rsid w:val="000550EE"/>
    <w:rPr>
      <w:b/>
      <w:bCs/>
    </w:rPr>
  </w:style>
  <w:style w:type="character" w:customStyle="1" w:styleId="CommentSubjectChar">
    <w:name w:val="Comment Subject Char"/>
    <w:basedOn w:val="CommentTextChar"/>
    <w:link w:val="CommentSubject"/>
    <w:uiPriority w:val="99"/>
    <w:semiHidden/>
    <w:rsid w:val="000550EE"/>
    <w:rPr>
      <w:b/>
      <w:bCs/>
      <w:sz w:val="20"/>
      <w:szCs w:val="20"/>
      <w:lang w:bidi="he-IL"/>
    </w:rPr>
  </w:style>
  <w:style w:type="paragraph" w:styleId="TOC3">
    <w:name w:val="toc 3"/>
    <w:basedOn w:val="Normal"/>
    <w:next w:val="Normal"/>
    <w:autoRedefine/>
    <w:uiPriority w:val="39"/>
    <w:unhideWhenUsed/>
    <w:rsid w:val="00623AE8"/>
    <w:pPr>
      <w:spacing w:after="100"/>
      <w:ind w:left="440"/>
    </w:pPr>
  </w:style>
  <w:style w:type="paragraph" w:styleId="Subtitle">
    <w:name w:val="Subtitle"/>
    <w:basedOn w:val="Normal"/>
    <w:next w:val="Normal"/>
    <w:link w:val="SubtitleChar"/>
    <w:uiPriority w:val="11"/>
    <w:qFormat/>
    <w:rPr>
      <w:color w:val="595959"/>
      <w:sz w:val="28"/>
      <w:szCs w:val="28"/>
    </w:rPr>
  </w:style>
  <w:style w:type="character" w:styleId="PlaceholderText">
    <w:name w:val="Placeholder Text"/>
    <w:basedOn w:val="DefaultParagraphFont"/>
    <w:uiPriority w:val="99"/>
    <w:semiHidden/>
    <w:rsid w:val="00176D78"/>
    <w:rPr>
      <w:color w:val="666666"/>
    </w:rPr>
  </w:style>
  <w:style w:type="paragraph" w:styleId="Caption">
    <w:name w:val="caption"/>
    <w:basedOn w:val="Normal"/>
    <w:next w:val="Normal"/>
    <w:uiPriority w:val="35"/>
    <w:unhideWhenUsed/>
    <w:qFormat/>
    <w:rsid w:val="00963DD8"/>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4B19D0"/>
    <w:pPr>
      <w:spacing w:after="100"/>
      <w:ind w:left="660"/>
    </w:pPr>
  </w:style>
  <w:style w:type="paragraph" w:styleId="Bibliography">
    <w:name w:val="Bibliography"/>
    <w:basedOn w:val="Normal"/>
    <w:next w:val="Normal"/>
    <w:uiPriority w:val="37"/>
    <w:unhideWhenUsed/>
    <w:rsid w:val="00776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1926">
      <w:bodyDiv w:val="1"/>
      <w:marLeft w:val="0"/>
      <w:marRight w:val="0"/>
      <w:marTop w:val="0"/>
      <w:marBottom w:val="0"/>
      <w:divBdr>
        <w:top w:val="none" w:sz="0" w:space="0" w:color="auto"/>
        <w:left w:val="none" w:sz="0" w:space="0" w:color="auto"/>
        <w:bottom w:val="none" w:sz="0" w:space="0" w:color="auto"/>
        <w:right w:val="none" w:sz="0" w:space="0" w:color="auto"/>
      </w:divBdr>
    </w:div>
    <w:div w:id="44068559">
      <w:bodyDiv w:val="1"/>
      <w:marLeft w:val="0"/>
      <w:marRight w:val="0"/>
      <w:marTop w:val="0"/>
      <w:marBottom w:val="0"/>
      <w:divBdr>
        <w:top w:val="none" w:sz="0" w:space="0" w:color="auto"/>
        <w:left w:val="none" w:sz="0" w:space="0" w:color="auto"/>
        <w:bottom w:val="none" w:sz="0" w:space="0" w:color="auto"/>
        <w:right w:val="none" w:sz="0" w:space="0" w:color="auto"/>
      </w:divBdr>
    </w:div>
    <w:div w:id="44450787">
      <w:bodyDiv w:val="1"/>
      <w:marLeft w:val="0"/>
      <w:marRight w:val="0"/>
      <w:marTop w:val="0"/>
      <w:marBottom w:val="0"/>
      <w:divBdr>
        <w:top w:val="none" w:sz="0" w:space="0" w:color="auto"/>
        <w:left w:val="none" w:sz="0" w:space="0" w:color="auto"/>
        <w:bottom w:val="none" w:sz="0" w:space="0" w:color="auto"/>
        <w:right w:val="none" w:sz="0" w:space="0" w:color="auto"/>
      </w:divBdr>
    </w:div>
    <w:div w:id="69082902">
      <w:bodyDiv w:val="1"/>
      <w:marLeft w:val="0"/>
      <w:marRight w:val="0"/>
      <w:marTop w:val="0"/>
      <w:marBottom w:val="0"/>
      <w:divBdr>
        <w:top w:val="none" w:sz="0" w:space="0" w:color="auto"/>
        <w:left w:val="none" w:sz="0" w:space="0" w:color="auto"/>
        <w:bottom w:val="none" w:sz="0" w:space="0" w:color="auto"/>
        <w:right w:val="none" w:sz="0" w:space="0" w:color="auto"/>
      </w:divBdr>
    </w:div>
    <w:div w:id="76678703">
      <w:bodyDiv w:val="1"/>
      <w:marLeft w:val="0"/>
      <w:marRight w:val="0"/>
      <w:marTop w:val="0"/>
      <w:marBottom w:val="0"/>
      <w:divBdr>
        <w:top w:val="none" w:sz="0" w:space="0" w:color="auto"/>
        <w:left w:val="none" w:sz="0" w:space="0" w:color="auto"/>
        <w:bottom w:val="none" w:sz="0" w:space="0" w:color="auto"/>
        <w:right w:val="none" w:sz="0" w:space="0" w:color="auto"/>
      </w:divBdr>
    </w:div>
    <w:div w:id="88546101">
      <w:bodyDiv w:val="1"/>
      <w:marLeft w:val="0"/>
      <w:marRight w:val="0"/>
      <w:marTop w:val="0"/>
      <w:marBottom w:val="0"/>
      <w:divBdr>
        <w:top w:val="none" w:sz="0" w:space="0" w:color="auto"/>
        <w:left w:val="none" w:sz="0" w:space="0" w:color="auto"/>
        <w:bottom w:val="none" w:sz="0" w:space="0" w:color="auto"/>
        <w:right w:val="none" w:sz="0" w:space="0" w:color="auto"/>
      </w:divBdr>
    </w:div>
    <w:div w:id="98835502">
      <w:bodyDiv w:val="1"/>
      <w:marLeft w:val="0"/>
      <w:marRight w:val="0"/>
      <w:marTop w:val="0"/>
      <w:marBottom w:val="0"/>
      <w:divBdr>
        <w:top w:val="none" w:sz="0" w:space="0" w:color="auto"/>
        <w:left w:val="none" w:sz="0" w:space="0" w:color="auto"/>
        <w:bottom w:val="none" w:sz="0" w:space="0" w:color="auto"/>
        <w:right w:val="none" w:sz="0" w:space="0" w:color="auto"/>
      </w:divBdr>
    </w:div>
    <w:div w:id="121658639">
      <w:bodyDiv w:val="1"/>
      <w:marLeft w:val="0"/>
      <w:marRight w:val="0"/>
      <w:marTop w:val="0"/>
      <w:marBottom w:val="0"/>
      <w:divBdr>
        <w:top w:val="none" w:sz="0" w:space="0" w:color="auto"/>
        <w:left w:val="none" w:sz="0" w:space="0" w:color="auto"/>
        <w:bottom w:val="none" w:sz="0" w:space="0" w:color="auto"/>
        <w:right w:val="none" w:sz="0" w:space="0" w:color="auto"/>
      </w:divBdr>
    </w:div>
    <w:div w:id="131335191">
      <w:bodyDiv w:val="1"/>
      <w:marLeft w:val="0"/>
      <w:marRight w:val="0"/>
      <w:marTop w:val="0"/>
      <w:marBottom w:val="0"/>
      <w:divBdr>
        <w:top w:val="none" w:sz="0" w:space="0" w:color="auto"/>
        <w:left w:val="none" w:sz="0" w:space="0" w:color="auto"/>
        <w:bottom w:val="none" w:sz="0" w:space="0" w:color="auto"/>
        <w:right w:val="none" w:sz="0" w:space="0" w:color="auto"/>
      </w:divBdr>
    </w:div>
    <w:div w:id="146631464">
      <w:bodyDiv w:val="1"/>
      <w:marLeft w:val="0"/>
      <w:marRight w:val="0"/>
      <w:marTop w:val="0"/>
      <w:marBottom w:val="0"/>
      <w:divBdr>
        <w:top w:val="none" w:sz="0" w:space="0" w:color="auto"/>
        <w:left w:val="none" w:sz="0" w:space="0" w:color="auto"/>
        <w:bottom w:val="none" w:sz="0" w:space="0" w:color="auto"/>
        <w:right w:val="none" w:sz="0" w:space="0" w:color="auto"/>
      </w:divBdr>
    </w:div>
    <w:div w:id="150875548">
      <w:bodyDiv w:val="1"/>
      <w:marLeft w:val="0"/>
      <w:marRight w:val="0"/>
      <w:marTop w:val="0"/>
      <w:marBottom w:val="0"/>
      <w:divBdr>
        <w:top w:val="none" w:sz="0" w:space="0" w:color="auto"/>
        <w:left w:val="none" w:sz="0" w:space="0" w:color="auto"/>
        <w:bottom w:val="none" w:sz="0" w:space="0" w:color="auto"/>
        <w:right w:val="none" w:sz="0" w:space="0" w:color="auto"/>
      </w:divBdr>
    </w:div>
    <w:div w:id="160004843">
      <w:bodyDiv w:val="1"/>
      <w:marLeft w:val="0"/>
      <w:marRight w:val="0"/>
      <w:marTop w:val="0"/>
      <w:marBottom w:val="0"/>
      <w:divBdr>
        <w:top w:val="none" w:sz="0" w:space="0" w:color="auto"/>
        <w:left w:val="none" w:sz="0" w:space="0" w:color="auto"/>
        <w:bottom w:val="none" w:sz="0" w:space="0" w:color="auto"/>
        <w:right w:val="none" w:sz="0" w:space="0" w:color="auto"/>
      </w:divBdr>
    </w:div>
    <w:div w:id="185756498">
      <w:bodyDiv w:val="1"/>
      <w:marLeft w:val="0"/>
      <w:marRight w:val="0"/>
      <w:marTop w:val="0"/>
      <w:marBottom w:val="0"/>
      <w:divBdr>
        <w:top w:val="none" w:sz="0" w:space="0" w:color="auto"/>
        <w:left w:val="none" w:sz="0" w:space="0" w:color="auto"/>
        <w:bottom w:val="none" w:sz="0" w:space="0" w:color="auto"/>
        <w:right w:val="none" w:sz="0" w:space="0" w:color="auto"/>
      </w:divBdr>
    </w:div>
    <w:div w:id="196167516">
      <w:bodyDiv w:val="1"/>
      <w:marLeft w:val="0"/>
      <w:marRight w:val="0"/>
      <w:marTop w:val="0"/>
      <w:marBottom w:val="0"/>
      <w:divBdr>
        <w:top w:val="none" w:sz="0" w:space="0" w:color="auto"/>
        <w:left w:val="none" w:sz="0" w:space="0" w:color="auto"/>
        <w:bottom w:val="none" w:sz="0" w:space="0" w:color="auto"/>
        <w:right w:val="none" w:sz="0" w:space="0" w:color="auto"/>
      </w:divBdr>
    </w:div>
    <w:div w:id="199174024">
      <w:bodyDiv w:val="1"/>
      <w:marLeft w:val="0"/>
      <w:marRight w:val="0"/>
      <w:marTop w:val="0"/>
      <w:marBottom w:val="0"/>
      <w:divBdr>
        <w:top w:val="none" w:sz="0" w:space="0" w:color="auto"/>
        <w:left w:val="none" w:sz="0" w:space="0" w:color="auto"/>
        <w:bottom w:val="none" w:sz="0" w:space="0" w:color="auto"/>
        <w:right w:val="none" w:sz="0" w:space="0" w:color="auto"/>
      </w:divBdr>
    </w:div>
    <w:div w:id="213546851">
      <w:bodyDiv w:val="1"/>
      <w:marLeft w:val="0"/>
      <w:marRight w:val="0"/>
      <w:marTop w:val="0"/>
      <w:marBottom w:val="0"/>
      <w:divBdr>
        <w:top w:val="none" w:sz="0" w:space="0" w:color="auto"/>
        <w:left w:val="none" w:sz="0" w:space="0" w:color="auto"/>
        <w:bottom w:val="none" w:sz="0" w:space="0" w:color="auto"/>
        <w:right w:val="none" w:sz="0" w:space="0" w:color="auto"/>
      </w:divBdr>
    </w:div>
    <w:div w:id="221454653">
      <w:bodyDiv w:val="1"/>
      <w:marLeft w:val="0"/>
      <w:marRight w:val="0"/>
      <w:marTop w:val="0"/>
      <w:marBottom w:val="0"/>
      <w:divBdr>
        <w:top w:val="none" w:sz="0" w:space="0" w:color="auto"/>
        <w:left w:val="none" w:sz="0" w:space="0" w:color="auto"/>
        <w:bottom w:val="none" w:sz="0" w:space="0" w:color="auto"/>
        <w:right w:val="none" w:sz="0" w:space="0" w:color="auto"/>
      </w:divBdr>
    </w:div>
    <w:div w:id="222181470">
      <w:bodyDiv w:val="1"/>
      <w:marLeft w:val="0"/>
      <w:marRight w:val="0"/>
      <w:marTop w:val="0"/>
      <w:marBottom w:val="0"/>
      <w:divBdr>
        <w:top w:val="none" w:sz="0" w:space="0" w:color="auto"/>
        <w:left w:val="none" w:sz="0" w:space="0" w:color="auto"/>
        <w:bottom w:val="none" w:sz="0" w:space="0" w:color="auto"/>
        <w:right w:val="none" w:sz="0" w:space="0" w:color="auto"/>
      </w:divBdr>
    </w:div>
    <w:div w:id="230702737">
      <w:bodyDiv w:val="1"/>
      <w:marLeft w:val="0"/>
      <w:marRight w:val="0"/>
      <w:marTop w:val="0"/>
      <w:marBottom w:val="0"/>
      <w:divBdr>
        <w:top w:val="none" w:sz="0" w:space="0" w:color="auto"/>
        <w:left w:val="none" w:sz="0" w:space="0" w:color="auto"/>
        <w:bottom w:val="none" w:sz="0" w:space="0" w:color="auto"/>
        <w:right w:val="none" w:sz="0" w:space="0" w:color="auto"/>
      </w:divBdr>
    </w:div>
    <w:div w:id="245850658">
      <w:bodyDiv w:val="1"/>
      <w:marLeft w:val="0"/>
      <w:marRight w:val="0"/>
      <w:marTop w:val="0"/>
      <w:marBottom w:val="0"/>
      <w:divBdr>
        <w:top w:val="none" w:sz="0" w:space="0" w:color="auto"/>
        <w:left w:val="none" w:sz="0" w:space="0" w:color="auto"/>
        <w:bottom w:val="none" w:sz="0" w:space="0" w:color="auto"/>
        <w:right w:val="none" w:sz="0" w:space="0" w:color="auto"/>
      </w:divBdr>
    </w:div>
    <w:div w:id="303050986">
      <w:bodyDiv w:val="1"/>
      <w:marLeft w:val="0"/>
      <w:marRight w:val="0"/>
      <w:marTop w:val="0"/>
      <w:marBottom w:val="0"/>
      <w:divBdr>
        <w:top w:val="none" w:sz="0" w:space="0" w:color="auto"/>
        <w:left w:val="none" w:sz="0" w:space="0" w:color="auto"/>
        <w:bottom w:val="none" w:sz="0" w:space="0" w:color="auto"/>
        <w:right w:val="none" w:sz="0" w:space="0" w:color="auto"/>
      </w:divBdr>
    </w:div>
    <w:div w:id="305401800">
      <w:bodyDiv w:val="1"/>
      <w:marLeft w:val="0"/>
      <w:marRight w:val="0"/>
      <w:marTop w:val="0"/>
      <w:marBottom w:val="0"/>
      <w:divBdr>
        <w:top w:val="none" w:sz="0" w:space="0" w:color="auto"/>
        <w:left w:val="none" w:sz="0" w:space="0" w:color="auto"/>
        <w:bottom w:val="none" w:sz="0" w:space="0" w:color="auto"/>
        <w:right w:val="none" w:sz="0" w:space="0" w:color="auto"/>
      </w:divBdr>
    </w:div>
    <w:div w:id="322437982">
      <w:bodyDiv w:val="1"/>
      <w:marLeft w:val="0"/>
      <w:marRight w:val="0"/>
      <w:marTop w:val="0"/>
      <w:marBottom w:val="0"/>
      <w:divBdr>
        <w:top w:val="none" w:sz="0" w:space="0" w:color="auto"/>
        <w:left w:val="none" w:sz="0" w:space="0" w:color="auto"/>
        <w:bottom w:val="none" w:sz="0" w:space="0" w:color="auto"/>
        <w:right w:val="none" w:sz="0" w:space="0" w:color="auto"/>
      </w:divBdr>
    </w:div>
    <w:div w:id="334961003">
      <w:bodyDiv w:val="1"/>
      <w:marLeft w:val="0"/>
      <w:marRight w:val="0"/>
      <w:marTop w:val="0"/>
      <w:marBottom w:val="0"/>
      <w:divBdr>
        <w:top w:val="none" w:sz="0" w:space="0" w:color="auto"/>
        <w:left w:val="none" w:sz="0" w:space="0" w:color="auto"/>
        <w:bottom w:val="none" w:sz="0" w:space="0" w:color="auto"/>
        <w:right w:val="none" w:sz="0" w:space="0" w:color="auto"/>
      </w:divBdr>
    </w:div>
    <w:div w:id="366374592">
      <w:bodyDiv w:val="1"/>
      <w:marLeft w:val="0"/>
      <w:marRight w:val="0"/>
      <w:marTop w:val="0"/>
      <w:marBottom w:val="0"/>
      <w:divBdr>
        <w:top w:val="none" w:sz="0" w:space="0" w:color="auto"/>
        <w:left w:val="none" w:sz="0" w:space="0" w:color="auto"/>
        <w:bottom w:val="none" w:sz="0" w:space="0" w:color="auto"/>
        <w:right w:val="none" w:sz="0" w:space="0" w:color="auto"/>
      </w:divBdr>
    </w:div>
    <w:div w:id="370769727">
      <w:bodyDiv w:val="1"/>
      <w:marLeft w:val="0"/>
      <w:marRight w:val="0"/>
      <w:marTop w:val="0"/>
      <w:marBottom w:val="0"/>
      <w:divBdr>
        <w:top w:val="none" w:sz="0" w:space="0" w:color="auto"/>
        <w:left w:val="none" w:sz="0" w:space="0" w:color="auto"/>
        <w:bottom w:val="none" w:sz="0" w:space="0" w:color="auto"/>
        <w:right w:val="none" w:sz="0" w:space="0" w:color="auto"/>
      </w:divBdr>
    </w:div>
    <w:div w:id="371342724">
      <w:bodyDiv w:val="1"/>
      <w:marLeft w:val="0"/>
      <w:marRight w:val="0"/>
      <w:marTop w:val="0"/>
      <w:marBottom w:val="0"/>
      <w:divBdr>
        <w:top w:val="none" w:sz="0" w:space="0" w:color="auto"/>
        <w:left w:val="none" w:sz="0" w:space="0" w:color="auto"/>
        <w:bottom w:val="none" w:sz="0" w:space="0" w:color="auto"/>
        <w:right w:val="none" w:sz="0" w:space="0" w:color="auto"/>
      </w:divBdr>
    </w:div>
    <w:div w:id="386418879">
      <w:bodyDiv w:val="1"/>
      <w:marLeft w:val="0"/>
      <w:marRight w:val="0"/>
      <w:marTop w:val="0"/>
      <w:marBottom w:val="0"/>
      <w:divBdr>
        <w:top w:val="none" w:sz="0" w:space="0" w:color="auto"/>
        <w:left w:val="none" w:sz="0" w:space="0" w:color="auto"/>
        <w:bottom w:val="none" w:sz="0" w:space="0" w:color="auto"/>
        <w:right w:val="none" w:sz="0" w:space="0" w:color="auto"/>
      </w:divBdr>
    </w:div>
    <w:div w:id="393284805">
      <w:bodyDiv w:val="1"/>
      <w:marLeft w:val="0"/>
      <w:marRight w:val="0"/>
      <w:marTop w:val="0"/>
      <w:marBottom w:val="0"/>
      <w:divBdr>
        <w:top w:val="none" w:sz="0" w:space="0" w:color="auto"/>
        <w:left w:val="none" w:sz="0" w:space="0" w:color="auto"/>
        <w:bottom w:val="none" w:sz="0" w:space="0" w:color="auto"/>
        <w:right w:val="none" w:sz="0" w:space="0" w:color="auto"/>
      </w:divBdr>
    </w:div>
    <w:div w:id="402064242">
      <w:bodyDiv w:val="1"/>
      <w:marLeft w:val="0"/>
      <w:marRight w:val="0"/>
      <w:marTop w:val="0"/>
      <w:marBottom w:val="0"/>
      <w:divBdr>
        <w:top w:val="none" w:sz="0" w:space="0" w:color="auto"/>
        <w:left w:val="none" w:sz="0" w:space="0" w:color="auto"/>
        <w:bottom w:val="none" w:sz="0" w:space="0" w:color="auto"/>
        <w:right w:val="none" w:sz="0" w:space="0" w:color="auto"/>
      </w:divBdr>
    </w:div>
    <w:div w:id="405106558">
      <w:bodyDiv w:val="1"/>
      <w:marLeft w:val="0"/>
      <w:marRight w:val="0"/>
      <w:marTop w:val="0"/>
      <w:marBottom w:val="0"/>
      <w:divBdr>
        <w:top w:val="none" w:sz="0" w:space="0" w:color="auto"/>
        <w:left w:val="none" w:sz="0" w:space="0" w:color="auto"/>
        <w:bottom w:val="none" w:sz="0" w:space="0" w:color="auto"/>
        <w:right w:val="none" w:sz="0" w:space="0" w:color="auto"/>
      </w:divBdr>
    </w:div>
    <w:div w:id="416364125">
      <w:bodyDiv w:val="1"/>
      <w:marLeft w:val="0"/>
      <w:marRight w:val="0"/>
      <w:marTop w:val="0"/>
      <w:marBottom w:val="0"/>
      <w:divBdr>
        <w:top w:val="none" w:sz="0" w:space="0" w:color="auto"/>
        <w:left w:val="none" w:sz="0" w:space="0" w:color="auto"/>
        <w:bottom w:val="none" w:sz="0" w:space="0" w:color="auto"/>
        <w:right w:val="none" w:sz="0" w:space="0" w:color="auto"/>
      </w:divBdr>
    </w:div>
    <w:div w:id="435709014">
      <w:bodyDiv w:val="1"/>
      <w:marLeft w:val="0"/>
      <w:marRight w:val="0"/>
      <w:marTop w:val="0"/>
      <w:marBottom w:val="0"/>
      <w:divBdr>
        <w:top w:val="none" w:sz="0" w:space="0" w:color="auto"/>
        <w:left w:val="none" w:sz="0" w:space="0" w:color="auto"/>
        <w:bottom w:val="none" w:sz="0" w:space="0" w:color="auto"/>
        <w:right w:val="none" w:sz="0" w:space="0" w:color="auto"/>
      </w:divBdr>
    </w:div>
    <w:div w:id="441267954">
      <w:bodyDiv w:val="1"/>
      <w:marLeft w:val="0"/>
      <w:marRight w:val="0"/>
      <w:marTop w:val="0"/>
      <w:marBottom w:val="0"/>
      <w:divBdr>
        <w:top w:val="none" w:sz="0" w:space="0" w:color="auto"/>
        <w:left w:val="none" w:sz="0" w:space="0" w:color="auto"/>
        <w:bottom w:val="none" w:sz="0" w:space="0" w:color="auto"/>
        <w:right w:val="none" w:sz="0" w:space="0" w:color="auto"/>
      </w:divBdr>
    </w:div>
    <w:div w:id="471286467">
      <w:bodyDiv w:val="1"/>
      <w:marLeft w:val="0"/>
      <w:marRight w:val="0"/>
      <w:marTop w:val="0"/>
      <w:marBottom w:val="0"/>
      <w:divBdr>
        <w:top w:val="none" w:sz="0" w:space="0" w:color="auto"/>
        <w:left w:val="none" w:sz="0" w:space="0" w:color="auto"/>
        <w:bottom w:val="none" w:sz="0" w:space="0" w:color="auto"/>
        <w:right w:val="none" w:sz="0" w:space="0" w:color="auto"/>
      </w:divBdr>
    </w:div>
    <w:div w:id="481194951">
      <w:bodyDiv w:val="1"/>
      <w:marLeft w:val="0"/>
      <w:marRight w:val="0"/>
      <w:marTop w:val="0"/>
      <w:marBottom w:val="0"/>
      <w:divBdr>
        <w:top w:val="none" w:sz="0" w:space="0" w:color="auto"/>
        <w:left w:val="none" w:sz="0" w:space="0" w:color="auto"/>
        <w:bottom w:val="none" w:sz="0" w:space="0" w:color="auto"/>
        <w:right w:val="none" w:sz="0" w:space="0" w:color="auto"/>
      </w:divBdr>
    </w:div>
    <w:div w:id="492571085">
      <w:bodyDiv w:val="1"/>
      <w:marLeft w:val="0"/>
      <w:marRight w:val="0"/>
      <w:marTop w:val="0"/>
      <w:marBottom w:val="0"/>
      <w:divBdr>
        <w:top w:val="none" w:sz="0" w:space="0" w:color="auto"/>
        <w:left w:val="none" w:sz="0" w:space="0" w:color="auto"/>
        <w:bottom w:val="none" w:sz="0" w:space="0" w:color="auto"/>
        <w:right w:val="none" w:sz="0" w:space="0" w:color="auto"/>
      </w:divBdr>
    </w:div>
    <w:div w:id="498810175">
      <w:bodyDiv w:val="1"/>
      <w:marLeft w:val="0"/>
      <w:marRight w:val="0"/>
      <w:marTop w:val="0"/>
      <w:marBottom w:val="0"/>
      <w:divBdr>
        <w:top w:val="none" w:sz="0" w:space="0" w:color="auto"/>
        <w:left w:val="none" w:sz="0" w:space="0" w:color="auto"/>
        <w:bottom w:val="none" w:sz="0" w:space="0" w:color="auto"/>
        <w:right w:val="none" w:sz="0" w:space="0" w:color="auto"/>
      </w:divBdr>
    </w:div>
    <w:div w:id="505638009">
      <w:bodyDiv w:val="1"/>
      <w:marLeft w:val="0"/>
      <w:marRight w:val="0"/>
      <w:marTop w:val="0"/>
      <w:marBottom w:val="0"/>
      <w:divBdr>
        <w:top w:val="none" w:sz="0" w:space="0" w:color="auto"/>
        <w:left w:val="none" w:sz="0" w:space="0" w:color="auto"/>
        <w:bottom w:val="none" w:sz="0" w:space="0" w:color="auto"/>
        <w:right w:val="none" w:sz="0" w:space="0" w:color="auto"/>
      </w:divBdr>
    </w:div>
    <w:div w:id="510803717">
      <w:bodyDiv w:val="1"/>
      <w:marLeft w:val="0"/>
      <w:marRight w:val="0"/>
      <w:marTop w:val="0"/>
      <w:marBottom w:val="0"/>
      <w:divBdr>
        <w:top w:val="none" w:sz="0" w:space="0" w:color="auto"/>
        <w:left w:val="none" w:sz="0" w:space="0" w:color="auto"/>
        <w:bottom w:val="none" w:sz="0" w:space="0" w:color="auto"/>
        <w:right w:val="none" w:sz="0" w:space="0" w:color="auto"/>
      </w:divBdr>
    </w:div>
    <w:div w:id="522786539">
      <w:bodyDiv w:val="1"/>
      <w:marLeft w:val="0"/>
      <w:marRight w:val="0"/>
      <w:marTop w:val="0"/>
      <w:marBottom w:val="0"/>
      <w:divBdr>
        <w:top w:val="none" w:sz="0" w:space="0" w:color="auto"/>
        <w:left w:val="none" w:sz="0" w:space="0" w:color="auto"/>
        <w:bottom w:val="none" w:sz="0" w:space="0" w:color="auto"/>
        <w:right w:val="none" w:sz="0" w:space="0" w:color="auto"/>
      </w:divBdr>
    </w:div>
    <w:div w:id="561913748">
      <w:bodyDiv w:val="1"/>
      <w:marLeft w:val="0"/>
      <w:marRight w:val="0"/>
      <w:marTop w:val="0"/>
      <w:marBottom w:val="0"/>
      <w:divBdr>
        <w:top w:val="none" w:sz="0" w:space="0" w:color="auto"/>
        <w:left w:val="none" w:sz="0" w:space="0" w:color="auto"/>
        <w:bottom w:val="none" w:sz="0" w:space="0" w:color="auto"/>
        <w:right w:val="none" w:sz="0" w:space="0" w:color="auto"/>
      </w:divBdr>
    </w:div>
    <w:div w:id="568884940">
      <w:bodyDiv w:val="1"/>
      <w:marLeft w:val="0"/>
      <w:marRight w:val="0"/>
      <w:marTop w:val="0"/>
      <w:marBottom w:val="0"/>
      <w:divBdr>
        <w:top w:val="none" w:sz="0" w:space="0" w:color="auto"/>
        <w:left w:val="none" w:sz="0" w:space="0" w:color="auto"/>
        <w:bottom w:val="none" w:sz="0" w:space="0" w:color="auto"/>
        <w:right w:val="none" w:sz="0" w:space="0" w:color="auto"/>
      </w:divBdr>
    </w:div>
    <w:div w:id="607857067">
      <w:bodyDiv w:val="1"/>
      <w:marLeft w:val="0"/>
      <w:marRight w:val="0"/>
      <w:marTop w:val="0"/>
      <w:marBottom w:val="0"/>
      <w:divBdr>
        <w:top w:val="none" w:sz="0" w:space="0" w:color="auto"/>
        <w:left w:val="none" w:sz="0" w:space="0" w:color="auto"/>
        <w:bottom w:val="none" w:sz="0" w:space="0" w:color="auto"/>
        <w:right w:val="none" w:sz="0" w:space="0" w:color="auto"/>
      </w:divBdr>
    </w:div>
    <w:div w:id="624312762">
      <w:bodyDiv w:val="1"/>
      <w:marLeft w:val="0"/>
      <w:marRight w:val="0"/>
      <w:marTop w:val="0"/>
      <w:marBottom w:val="0"/>
      <w:divBdr>
        <w:top w:val="none" w:sz="0" w:space="0" w:color="auto"/>
        <w:left w:val="none" w:sz="0" w:space="0" w:color="auto"/>
        <w:bottom w:val="none" w:sz="0" w:space="0" w:color="auto"/>
        <w:right w:val="none" w:sz="0" w:space="0" w:color="auto"/>
      </w:divBdr>
    </w:div>
    <w:div w:id="679502352">
      <w:bodyDiv w:val="1"/>
      <w:marLeft w:val="0"/>
      <w:marRight w:val="0"/>
      <w:marTop w:val="0"/>
      <w:marBottom w:val="0"/>
      <w:divBdr>
        <w:top w:val="none" w:sz="0" w:space="0" w:color="auto"/>
        <w:left w:val="none" w:sz="0" w:space="0" w:color="auto"/>
        <w:bottom w:val="none" w:sz="0" w:space="0" w:color="auto"/>
        <w:right w:val="none" w:sz="0" w:space="0" w:color="auto"/>
      </w:divBdr>
    </w:div>
    <w:div w:id="685861734">
      <w:bodyDiv w:val="1"/>
      <w:marLeft w:val="0"/>
      <w:marRight w:val="0"/>
      <w:marTop w:val="0"/>
      <w:marBottom w:val="0"/>
      <w:divBdr>
        <w:top w:val="none" w:sz="0" w:space="0" w:color="auto"/>
        <w:left w:val="none" w:sz="0" w:space="0" w:color="auto"/>
        <w:bottom w:val="none" w:sz="0" w:space="0" w:color="auto"/>
        <w:right w:val="none" w:sz="0" w:space="0" w:color="auto"/>
      </w:divBdr>
    </w:div>
    <w:div w:id="701054222">
      <w:bodyDiv w:val="1"/>
      <w:marLeft w:val="0"/>
      <w:marRight w:val="0"/>
      <w:marTop w:val="0"/>
      <w:marBottom w:val="0"/>
      <w:divBdr>
        <w:top w:val="none" w:sz="0" w:space="0" w:color="auto"/>
        <w:left w:val="none" w:sz="0" w:space="0" w:color="auto"/>
        <w:bottom w:val="none" w:sz="0" w:space="0" w:color="auto"/>
        <w:right w:val="none" w:sz="0" w:space="0" w:color="auto"/>
      </w:divBdr>
    </w:div>
    <w:div w:id="710349368">
      <w:bodyDiv w:val="1"/>
      <w:marLeft w:val="0"/>
      <w:marRight w:val="0"/>
      <w:marTop w:val="0"/>
      <w:marBottom w:val="0"/>
      <w:divBdr>
        <w:top w:val="none" w:sz="0" w:space="0" w:color="auto"/>
        <w:left w:val="none" w:sz="0" w:space="0" w:color="auto"/>
        <w:bottom w:val="none" w:sz="0" w:space="0" w:color="auto"/>
        <w:right w:val="none" w:sz="0" w:space="0" w:color="auto"/>
      </w:divBdr>
    </w:div>
    <w:div w:id="723411454">
      <w:bodyDiv w:val="1"/>
      <w:marLeft w:val="0"/>
      <w:marRight w:val="0"/>
      <w:marTop w:val="0"/>
      <w:marBottom w:val="0"/>
      <w:divBdr>
        <w:top w:val="none" w:sz="0" w:space="0" w:color="auto"/>
        <w:left w:val="none" w:sz="0" w:space="0" w:color="auto"/>
        <w:bottom w:val="none" w:sz="0" w:space="0" w:color="auto"/>
        <w:right w:val="none" w:sz="0" w:space="0" w:color="auto"/>
      </w:divBdr>
    </w:div>
    <w:div w:id="731854712">
      <w:bodyDiv w:val="1"/>
      <w:marLeft w:val="0"/>
      <w:marRight w:val="0"/>
      <w:marTop w:val="0"/>
      <w:marBottom w:val="0"/>
      <w:divBdr>
        <w:top w:val="none" w:sz="0" w:space="0" w:color="auto"/>
        <w:left w:val="none" w:sz="0" w:space="0" w:color="auto"/>
        <w:bottom w:val="none" w:sz="0" w:space="0" w:color="auto"/>
        <w:right w:val="none" w:sz="0" w:space="0" w:color="auto"/>
      </w:divBdr>
    </w:div>
    <w:div w:id="732194024">
      <w:bodyDiv w:val="1"/>
      <w:marLeft w:val="0"/>
      <w:marRight w:val="0"/>
      <w:marTop w:val="0"/>
      <w:marBottom w:val="0"/>
      <w:divBdr>
        <w:top w:val="none" w:sz="0" w:space="0" w:color="auto"/>
        <w:left w:val="none" w:sz="0" w:space="0" w:color="auto"/>
        <w:bottom w:val="none" w:sz="0" w:space="0" w:color="auto"/>
        <w:right w:val="none" w:sz="0" w:space="0" w:color="auto"/>
      </w:divBdr>
    </w:div>
    <w:div w:id="752748380">
      <w:bodyDiv w:val="1"/>
      <w:marLeft w:val="0"/>
      <w:marRight w:val="0"/>
      <w:marTop w:val="0"/>
      <w:marBottom w:val="0"/>
      <w:divBdr>
        <w:top w:val="none" w:sz="0" w:space="0" w:color="auto"/>
        <w:left w:val="none" w:sz="0" w:space="0" w:color="auto"/>
        <w:bottom w:val="none" w:sz="0" w:space="0" w:color="auto"/>
        <w:right w:val="none" w:sz="0" w:space="0" w:color="auto"/>
      </w:divBdr>
    </w:div>
    <w:div w:id="754403653">
      <w:bodyDiv w:val="1"/>
      <w:marLeft w:val="0"/>
      <w:marRight w:val="0"/>
      <w:marTop w:val="0"/>
      <w:marBottom w:val="0"/>
      <w:divBdr>
        <w:top w:val="none" w:sz="0" w:space="0" w:color="auto"/>
        <w:left w:val="none" w:sz="0" w:space="0" w:color="auto"/>
        <w:bottom w:val="none" w:sz="0" w:space="0" w:color="auto"/>
        <w:right w:val="none" w:sz="0" w:space="0" w:color="auto"/>
      </w:divBdr>
    </w:div>
    <w:div w:id="781146927">
      <w:bodyDiv w:val="1"/>
      <w:marLeft w:val="0"/>
      <w:marRight w:val="0"/>
      <w:marTop w:val="0"/>
      <w:marBottom w:val="0"/>
      <w:divBdr>
        <w:top w:val="none" w:sz="0" w:space="0" w:color="auto"/>
        <w:left w:val="none" w:sz="0" w:space="0" w:color="auto"/>
        <w:bottom w:val="none" w:sz="0" w:space="0" w:color="auto"/>
        <w:right w:val="none" w:sz="0" w:space="0" w:color="auto"/>
      </w:divBdr>
    </w:div>
    <w:div w:id="803356169">
      <w:bodyDiv w:val="1"/>
      <w:marLeft w:val="0"/>
      <w:marRight w:val="0"/>
      <w:marTop w:val="0"/>
      <w:marBottom w:val="0"/>
      <w:divBdr>
        <w:top w:val="none" w:sz="0" w:space="0" w:color="auto"/>
        <w:left w:val="none" w:sz="0" w:space="0" w:color="auto"/>
        <w:bottom w:val="none" w:sz="0" w:space="0" w:color="auto"/>
        <w:right w:val="none" w:sz="0" w:space="0" w:color="auto"/>
      </w:divBdr>
    </w:div>
    <w:div w:id="813789973">
      <w:bodyDiv w:val="1"/>
      <w:marLeft w:val="0"/>
      <w:marRight w:val="0"/>
      <w:marTop w:val="0"/>
      <w:marBottom w:val="0"/>
      <w:divBdr>
        <w:top w:val="none" w:sz="0" w:space="0" w:color="auto"/>
        <w:left w:val="none" w:sz="0" w:space="0" w:color="auto"/>
        <w:bottom w:val="none" w:sz="0" w:space="0" w:color="auto"/>
        <w:right w:val="none" w:sz="0" w:space="0" w:color="auto"/>
      </w:divBdr>
    </w:div>
    <w:div w:id="851410865">
      <w:bodyDiv w:val="1"/>
      <w:marLeft w:val="0"/>
      <w:marRight w:val="0"/>
      <w:marTop w:val="0"/>
      <w:marBottom w:val="0"/>
      <w:divBdr>
        <w:top w:val="none" w:sz="0" w:space="0" w:color="auto"/>
        <w:left w:val="none" w:sz="0" w:space="0" w:color="auto"/>
        <w:bottom w:val="none" w:sz="0" w:space="0" w:color="auto"/>
        <w:right w:val="none" w:sz="0" w:space="0" w:color="auto"/>
      </w:divBdr>
    </w:div>
    <w:div w:id="876048209">
      <w:bodyDiv w:val="1"/>
      <w:marLeft w:val="0"/>
      <w:marRight w:val="0"/>
      <w:marTop w:val="0"/>
      <w:marBottom w:val="0"/>
      <w:divBdr>
        <w:top w:val="none" w:sz="0" w:space="0" w:color="auto"/>
        <w:left w:val="none" w:sz="0" w:space="0" w:color="auto"/>
        <w:bottom w:val="none" w:sz="0" w:space="0" w:color="auto"/>
        <w:right w:val="none" w:sz="0" w:space="0" w:color="auto"/>
      </w:divBdr>
    </w:div>
    <w:div w:id="876547185">
      <w:bodyDiv w:val="1"/>
      <w:marLeft w:val="0"/>
      <w:marRight w:val="0"/>
      <w:marTop w:val="0"/>
      <w:marBottom w:val="0"/>
      <w:divBdr>
        <w:top w:val="none" w:sz="0" w:space="0" w:color="auto"/>
        <w:left w:val="none" w:sz="0" w:space="0" w:color="auto"/>
        <w:bottom w:val="none" w:sz="0" w:space="0" w:color="auto"/>
        <w:right w:val="none" w:sz="0" w:space="0" w:color="auto"/>
      </w:divBdr>
    </w:div>
    <w:div w:id="888031820">
      <w:bodyDiv w:val="1"/>
      <w:marLeft w:val="0"/>
      <w:marRight w:val="0"/>
      <w:marTop w:val="0"/>
      <w:marBottom w:val="0"/>
      <w:divBdr>
        <w:top w:val="none" w:sz="0" w:space="0" w:color="auto"/>
        <w:left w:val="none" w:sz="0" w:space="0" w:color="auto"/>
        <w:bottom w:val="none" w:sz="0" w:space="0" w:color="auto"/>
        <w:right w:val="none" w:sz="0" w:space="0" w:color="auto"/>
      </w:divBdr>
    </w:div>
    <w:div w:id="903679806">
      <w:bodyDiv w:val="1"/>
      <w:marLeft w:val="0"/>
      <w:marRight w:val="0"/>
      <w:marTop w:val="0"/>
      <w:marBottom w:val="0"/>
      <w:divBdr>
        <w:top w:val="none" w:sz="0" w:space="0" w:color="auto"/>
        <w:left w:val="none" w:sz="0" w:space="0" w:color="auto"/>
        <w:bottom w:val="none" w:sz="0" w:space="0" w:color="auto"/>
        <w:right w:val="none" w:sz="0" w:space="0" w:color="auto"/>
      </w:divBdr>
    </w:div>
    <w:div w:id="916134185">
      <w:bodyDiv w:val="1"/>
      <w:marLeft w:val="0"/>
      <w:marRight w:val="0"/>
      <w:marTop w:val="0"/>
      <w:marBottom w:val="0"/>
      <w:divBdr>
        <w:top w:val="none" w:sz="0" w:space="0" w:color="auto"/>
        <w:left w:val="none" w:sz="0" w:space="0" w:color="auto"/>
        <w:bottom w:val="none" w:sz="0" w:space="0" w:color="auto"/>
        <w:right w:val="none" w:sz="0" w:space="0" w:color="auto"/>
      </w:divBdr>
    </w:div>
    <w:div w:id="922878716">
      <w:bodyDiv w:val="1"/>
      <w:marLeft w:val="0"/>
      <w:marRight w:val="0"/>
      <w:marTop w:val="0"/>
      <w:marBottom w:val="0"/>
      <w:divBdr>
        <w:top w:val="none" w:sz="0" w:space="0" w:color="auto"/>
        <w:left w:val="none" w:sz="0" w:space="0" w:color="auto"/>
        <w:bottom w:val="none" w:sz="0" w:space="0" w:color="auto"/>
        <w:right w:val="none" w:sz="0" w:space="0" w:color="auto"/>
      </w:divBdr>
    </w:div>
    <w:div w:id="925575060">
      <w:bodyDiv w:val="1"/>
      <w:marLeft w:val="0"/>
      <w:marRight w:val="0"/>
      <w:marTop w:val="0"/>
      <w:marBottom w:val="0"/>
      <w:divBdr>
        <w:top w:val="none" w:sz="0" w:space="0" w:color="auto"/>
        <w:left w:val="none" w:sz="0" w:space="0" w:color="auto"/>
        <w:bottom w:val="none" w:sz="0" w:space="0" w:color="auto"/>
        <w:right w:val="none" w:sz="0" w:space="0" w:color="auto"/>
      </w:divBdr>
    </w:div>
    <w:div w:id="933435964">
      <w:bodyDiv w:val="1"/>
      <w:marLeft w:val="0"/>
      <w:marRight w:val="0"/>
      <w:marTop w:val="0"/>
      <w:marBottom w:val="0"/>
      <w:divBdr>
        <w:top w:val="none" w:sz="0" w:space="0" w:color="auto"/>
        <w:left w:val="none" w:sz="0" w:space="0" w:color="auto"/>
        <w:bottom w:val="none" w:sz="0" w:space="0" w:color="auto"/>
        <w:right w:val="none" w:sz="0" w:space="0" w:color="auto"/>
      </w:divBdr>
    </w:div>
    <w:div w:id="942617240">
      <w:bodyDiv w:val="1"/>
      <w:marLeft w:val="0"/>
      <w:marRight w:val="0"/>
      <w:marTop w:val="0"/>
      <w:marBottom w:val="0"/>
      <w:divBdr>
        <w:top w:val="none" w:sz="0" w:space="0" w:color="auto"/>
        <w:left w:val="none" w:sz="0" w:space="0" w:color="auto"/>
        <w:bottom w:val="none" w:sz="0" w:space="0" w:color="auto"/>
        <w:right w:val="none" w:sz="0" w:space="0" w:color="auto"/>
      </w:divBdr>
    </w:div>
    <w:div w:id="992489356">
      <w:bodyDiv w:val="1"/>
      <w:marLeft w:val="0"/>
      <w:marRight w:val="0"/>
      <w:marTop w:val="0"/>
      <w:marBottom w:val="0"/>
      <w:divBdr>
        <w:top w:val="none" w:sz="0" w:space="0" w:color="auto"/>
        <w:left w:val="none" w:sz="0" w:space="0" w:color="auto"/>
        <w:bottom w:val="none" w:sz="0" w:space="0" w:color="auto"/>
        <w:right w:val="none" w:sz="0" w:space="0" w:color="auto"/>
      </w:divBdr>
    </w:div>
    <w:div w:id="993874576">
      <w:bodyDiv w:val="1"/>
      <w:marLeft w:val="0"/>
      <w:marRight w:val="0"/>
      <w:marTop w:val="0"/>
      <w:marBottom w:val="0"/>
      <w:divBdr>
        <w:top w:val="none" w:sz="0" w:space="0" w:color="auto"/>
        <w:left w:val="none" w:sz="0" w:space="0" w:color="auto"/>
        <w:bottom w:val="none" w:sz="0" w:space="0" w:color="auto"/>
        <w:right w:val="none" w:sz="0" w:space="0" w:color="auto"/>
      </w:divBdr>
    </w:div>
    <w:div w:id="1002708586">
      <w:bodyDiv w:val="1"/>
      <w:marLeft w:val="0"/>
      <w:marRight w:val="0"/>
      <w:marTop w:val="0"/>
      <w:marBottom w:val="0"/>
      <w:divBdr>
        <w:top w:val="none" w:sz="0" w:space="0" w:color="auto"/>
        <w:left w:val="none" w:sz="0" w:space="0" w:color="auto"/>
        <w:bottom w:val="none" w:sz="0" w:space="0" w:color="auto"/>
        <w:right w:val="none" w:sz="0" w:space="0" w:color="auto"/>
      </w:divBdr>
    </w:div>
    <w:div w:id="1012948379">
      <w:bodyDiv w:val="1"/>
      <w:marLeft w:val="0"/>
      <w:marRight w:val="0"/>
      <w:marTop w:val="0"/>
      <w:marBottom w:val="0"/>
      <w:divBdr>
        <w:top w:val="none" w:sz="0" w:space="0" w:color="auto"/>
        <w:left w:val="none" w:sz="0" w:space="0" w:color="auto"/>
        <w:bottom w:val="none" w:sz="0" w:space="0" w:color="auto"/>
        <w:right w:val="none" w:sz="0" w:space="0" w:color="auto"/>
      </w:divBdr>
    </w:div>
    <w:div w:id="1057361323">
      <w:bodyDiv w:val="1"/>
      <w:marLeft w:val="0"/>
      <w:marRight w:val="0"/>
      <w:marTop w:val="0"/>
      <w:marBottom w:val="0"/>
      <w:divBdr>
        <w:top w:val="none" w:sz="0" w:space="0" w:color="auto"/>
        <w:left w:val="none" w:sz="0" w:space="0" w:color="auto"/>
        <w:bottom w:val="none" w:sz="0" w:space="0" w:color="auto"/>
        <w:right w:val="none" w:sz="0" w:space="0" w:color="auto"/>
      </w:divBdr>
    </w:div>
    <w:div w:id="1071545208">
      <w:bodyDiv w:val="1"/>
      <w:marLeft w:val="0"/>
      <w:marRight w:val="0"/>
      <w:marTop w:val="0"/>
      <w:marBottom w:val="0"/>
      <w:divBdr>
        <w:top w:val="none" w:sz="0" w:space="0" w:color="auto"/>
        <w:left w:val="none" w:sz="0" w:space="0" w:color="auto"/>
        <w:bottom w:val="none" w:sz="0" w:space="0" w:color="auto"/>
        <w:right w:val="none" w:sz="0" w:space="0" w:color="auto"/>
      </w:divBdr>
    </w:div>
    <w:div w:id="1073626105">
      <w:bodyDiv w:val="1"/>
      <w:marLeft w:val="0"/>
      <w:marRight w:val="0"/>
      <w:marTop w:val="0"/>
      <w:marBottom w:val="0"/>
      <w:divBdr>
        <w:top w:val="none" w:sz="0" w:space="0" w:color="auto"/>
        <w:left w:val="none" w:sz="0" w:space="0" w:color="auto"/>
        <w:bottom w:val="none" w:sz="0" w:space="0" w:color="auto"/>
        <w:right w:val="none" w:sz="0" w:space="0" w:color="auto"/>
      </w:divBdr>
    </w:div>
    <w:div w:id="1091969548">
      <w:bodyDiv w:val="1"/>
      <w:marLeft w:val="0"/>
      <w:marRight w:val="0"/>
      <w:marTop w:val="0"/>
      <w:marBottom w:val="0"/>
      <w:divBdr>
        <w:top w:val="none" w:sz="0" w:space="0" w:color="auto"/>
        <w:left w:val="none" w:sz="0" w:space="0" w:color="auto"/>
        <w:bottom w:val="none" w:sz="0" w:space="0" w:color="auto"/>
        <w:right w:val="none" w:sz="0" w:space="0" w:color="auto"/>
      </w:divBdr>
    </w:div>
    <w:div w:id="1124496850">
      <w:bodyDiv w:val="1"/>
      <w:marLeft w:val="0"/>
      <w:marRight w:val="0"/>
      <w:marTop w:val="0"/>
      <w:marBottom w:val="0"/>
      <w:divBdr>
        <w:top w:val="none" w:sz="0" w:space="0" w:color="auto"/>
        <w:left w:val="none" w:sz="0" w:space="0" w:color="auto"/>
        <w:bottom w:val="none" w:sz="0" w:space="0" w:color="auto"/>
        <w:right w:val="none" w:sz="0" w:space="0" w:color="auto"/>
      </w:divBdr>
    </w:div>
    <w:div w:id="1132213758">
      <w:bodyDiv w:val="1"/>
      <w:marLeft w:val="0"/>
      <w:marRight w:val="0"/>
      <w:marTop w:val="0"/>
      <w:marBottom w:val="0"/>
      <w:divBdr>
        <w:top w:val="none" w:sz="0" w:space="0" w:color="auto"/>
        <w:left w:val="none" w:sz="0" w:space="0" w:color="auto"/>
        <w:bottom w:val="none" w:sz="0" w:space="0" w:color="auto"/>
        <w:right w:val="none" w:sz="0" w:space="0" w:color="auto"/>
      </w:divBdr>
    </w:div>
    <w:div w:id="1189181228">
      <w:bodyDiv w:val="1"/>
      <w:marLeft w:val="0"/>
      <w:marRight w:val="0"/>
      <w:marTop w:val="0"/>
      <w:marBottom w:val="0"/>
      <w:divBdr>
        <w:top w:val="none" w:sz="0" w:space="0" w:color="auto"/>
        <w:left w:val="none" w:sz="0" w:space="0" w:color="auto"/>
        <w:bottom w:val="none" w:sz="0" w:space="0" w:color="auto"/>
        <w:right w:val="none" w:sz="0" w:space="0" w:color="auto"/>
      </w:divBdr>
    </w:div>
    <w:div w:id="1218200786">
      <w:bodyDiv w:val="1"/>
      <w:marLeft w:val="0"/>
      <w:marRight w:val="0"/>
      <w:marTop w:val="0"/>
      <w:marBottom w:val="0"/>
      <w:divBdr>
        <w:top w:val="none" w:sz="0" w:space="0" w:color="auto"/>
        <w:left w:val="none" w:sz="0" w:space="0" w:color="auto"/>
        <w:bottom w:val="none" w:sz="0" w:space="0" w:color="auto"/>
        <w:right w:val="none" w:sz="0" w:space="0" w:color="auto"/>
      </w:divBdr>
    </w:div>
    <w:div w:id="1227450450">
      <w:bodyDiv w:val="1"/>
      <w:marLeft w:val="0"/>
      <w:marRight w:val="0"/>
      <w:marTop w:val="0"/>
      <w:marBottom w:val="0"/>
      <w:divBdr>
        <w:top w:val="none" w:sz="0" w:space="0" w:color="auto"/>
        <w:left w:val="none" w:sz="0" w:space="0" w:color="auto"/>
        <w:bottom w:val="none" w:sz="0" w:space="0" w:color="auto"/>
        <w:right w:val="none" w:sz="0" w:space="0" w:color="auto"/>
      </w:divBdr>
    </w:div>
    <w:div w:id="1267736216">
      <w:bodyDiv w:val="1"/>
      <w:marLeft w:val="0"/>
      <w:marRight w:val="0"/>
      <w:marTop w:val="0"/>
      <w:marBottom w:val="0"/>
      <w:divBdr>
        <w:top w:val="none" w:sz="0" w:space="0" w:color="auto"/>
        <w:left w:val="none" w:sz="0" w:space="0" w:color="auto"/>
        <w:bottom w:val="none" w:sz="0" w:space="0" w:color="auto"/>
        <w:right w:val="none" w:sz="0" w:space="0" w:color="auto"/>
      </w:divBdr>
    </w:div>
    <w:div w:id="1269195907">
      <w:bodyDiv w:val="1"/>
      <w:marLeft w:val="0"/>
      <w:marRight w:val="0"/>
      <w:marTop w:val="0"/>
      <w:marBottom w:val="0"/>
      <w:divBdr>
        <w:top w:val="none" w:sz="0" w:space="0" w:color="auto"/>
        <w:left w:val="none" w:sz="0" w:space="0" w:color="auto"/>
        <w:bottom w:val="none" w:sz="0" w:space="0" w:color="auto"/>
        <w:right w:val="none" w:sz="0" w:space="0" w:color="auto"/>
      </w:divBdr>
    </w:div>
    <w:div w:id="1277828729">
      <w:bodyDiv w:val="1"/>
      <w:marLeft w:val="0"/>
      <w:marRight w:val="0"/>
      <w:marTop w:val="0"/>
      <w:marBottom w:val="0"/>
      <w:divBdr>
        <w:top w:val="none" w:sz="0" w:space="0" w:color="auto"/>
        <w:left w:val="none" w:sz="0" w:space="0" w:color="auto"/>
        <w:bottom w:val="none" w:sz="0" w:space="0" w:color="auto"/>
        <w:right w:val="none" w:sz="0" w:space="0" w:color="auto"/>
      </w:divBdr>
    </w:div>
    <w:div w:id="1278953697">
      <w:bodyDiv w:val="1"/>
      <w:marLeft w:val="0"/>
      <w:marRight w:val="0"/>
      <w:marTop w:val="0"/>
      <w:marBottom w:val="0"/>
      <w:divBdr>
        <w:top w:val="none" w:sz="0" w:space="0" w:color="auto"/>
        <w:left w:val="none" w:sz="0" w:space="0" w:color="auto"/>
        <w:bottom w:val="none" w:sz="0" w:space="0" w:color="auto"/>
        <w:right w:val="none" w:sz="0" w:space="0" w:color="auto"/>
      </w:divBdr>
    </w:div>
    <w:div w:id="1286276995">
      <w:bodyDiv w:val="1"/>
      <w:marLeft w:val="0"/>
      <w:marRight w:val="0"/>
      <w:marTop w:val="0"/>
      <w:marBottom w:val="0"/>
      <w:divBdr>
        <w:top w:val="none" w:sz="0" w:space="0" w:color="auto"/>
        <w:left w:val="none" w:sz="0" w:space="0" w:color="auto"/>
        <w:bottom w:val="none" w:sz="0" w:space="0" w:color="auto"/>
        <w:right w:val="none" w:sz="0" w:space="0" w:color="auto"/>
      </w:divBdr>
    </w:div>
    <w:div w:id="1292714453">
      <w:bodyDiv w:val="1"/>
      <w:marLeft w:val="0"/>
      <w:marRight w:val="0"/>
      <w:marTop w:val="0"/>
      <w:marBottom w:val="0"/>
      <w:divBdr>
        <w:top w:val="none" w:sz="0" w:space="0" w:color="auto"/>
        <w:left w:val="none" w:sz="0" w:space="0" w:color="auto"/>
        <w:bottom w:val="none" w:sz="0" w:space="0" w:color="auto"/>
        <w:right w:val="none" w:sz="0" w:space="0" w:color="auto"/>
      </w:divBdr>
    </w:div>
    <w:div w:id="1321080205">
      <w:bodyDiv w:val="1"/>
      <w:marLeft w:val="0"/>
      <w:marRight w:val="0"/>
      <w:marTop w:val="0"/>
      <w:marBottom w:val="0"/>
      <w:divBdr>
        <w:top w:val="none" w:sz="0" w:space="0" w:color="auto"/>
        <w:left w:val="none" w:sz="0" w:space="0" w:color="auto"/>
        <w:bottom w:val="none" w:sz="0" w:space="0" w:color="auto"/>
        <w:right w:val="none" w:sz="0" w:space="0" w:color="auto"/>
      </w:divBdr>
    </w:div>
    <w:div w:id="1328558303">
      <w:bodyDiv w:val="1"/>
      <w:marLeft w:val="0"/>
      <w:marRight w:val="0"/>
      <w:marTop w:val="0"/>
      <w:marBottom w:val="0"/>
      <w:divBdr>
        <w:top w:val="none" w:sz="0" w:space="0" w:color="auto"/>
        <w:left w:val="none" w:sz="0" w:space="0" w:color="auto"/>
        <w:bottom w:val="none" w:sz="0" w:space="0" w:color="auto"/>
        <w:right w:val="none" w:sz="0" w:space="0" w:color="auto"/>
      </w:divBdr>
    </w:div>
    <w:div w:id="1354109511">
      <w:bodyDiv w:val="1"/>
      <w:marLeft w:val="0"/>
      <w:marRight w:val="0"/>
      <w:marTop w:val="0"/>
      <w:marBottom w:val="0"/>
      <w:divBdr>
        <w:top w:val="none" w:sz="0" w:space="0" w:color="auto"/>
        <w:left w:val="none" w:sz="0" w:space="0" w:color="auto"/>
        <w:bottom w:val="none" w:sz="0" w:space="0" w:color="auto"/>
        <w:right w:val="none" w:sz="0" w:space="0" w:color="auto"/>
      </w:divBdr>
    </w:div>
    <w:div w:id="1359237728">
      <w:bodyDiv w:val="1"/>
      <w:marLeft w:val="0"/>
      <w:marRight w:val="0"/>
      <w:marTop w:val="0"/>
      <w:marBottom w:val="0"/>
      <w:divBdr>
        <w:top w:val="none" w:sz="0" w:space="0" w:color="auto"/>
        <w:left w:val="none" w:sz="0" w:space="0" w:color="auto"/>
        <w:bottom w:val="none" w:sz="0" w:space="0" w:color="auto"/>
        <w:right w:val="none" w:sz="0" w:space="0" w:color="auto"/>
      </w:divBdr>
    </w:div>
    <w:div w:id="1376195812">
      <w:bodyDiv w:val="1"/>
      <w:marLeft w:val="0"/>
      <w:marRight w:val="0"/>
      <w:marTop w:val="0"/>
      <w:marBottom w:val="0"/>
      <w:divBdr>
        <w:top w:val="none" w:sz="0" w:space="0" w:color="auto"/>
        <w:left w:val="none" w:sz="0" w:space="0" w:color="auto"/>
        <w:bottom w:val="none" w:sz="0" w:space="0" w:color="auto"/>
        <w:right w:val="none" w:sz="0" w:space="0" w:color="auto"/>
      </w:divBdr>
    </w:div>
    <w:div w:id="1384598911">
      <w:bodyDiv w:val="1"/>
      <w:marLeft w:val="0"/>
      <w:marRight w:val="0"/>
      <w:marTop w:val="0"/>
      <w:marBottom w:val="0"/>
      <w:divBdr>
        <w:top w:val="none" w:sz="0" w:space="0" w:color="auto"/>
        <w:left w:val="none" w:sz="0" w:space="0" w:color="auto"/>
        <w:bottom w:val="none" w:sz="0" w:space="0" w:color="auto"/>
        <w:right w:val="none" w:sz="0" w:space="0" w:color="auto"/>
      </w:divBdr>
    </w:div>
    <w:div w:id="1385517770">
      <w:bodyDiv w:val="1"/>
      <w:marLeft w:val="0"/>
      <w:marRight w:val="0"/>
      <w:marTop w:val="0"/>
      <w:marBottom w:val="0"/>
      <w:divBdr>
        <w:top w:val="none" w:sz="0" w:space="0" w:color="auto"/>
        <w:left w:val="none" w:sz="0" w:space="0" w:color="auto"/>
        <w:bottom w:val="none" w:sz="0" w:space="0" w:color="auto"/>
        <w:right w:val="none" w:sz="0" w:space="0" w:color="auto"/>
      </w:divBdr>
    </w:div>
    <w:div w:id="1392463915">
      <w:bodyDiv w:val="1"/>
      <w:marLeft w:val="0"/>
      <w:marRight w:val="0"/>
      <w:marTop w:val="0"/>
      <w:marBottom w:val="0"/>
      <w:divBdr>
        <w:top w:val="none" w:sz="0" w:space="0" w:color="auto"/>
        <w:left w:val="none" w:sz="0" w:space="0" w:color="auto"/>
        <w:bottom w:val="none" w:sz="0" w:space="0" w:color="auto"/>
        <w:right w:val="none" w:sz="0" w:space="0" w:color="auto"/>
      </w:divBdr>
    </w:div>
    <w:div w:id="1448503727">
      <w:bodyDiv w:val="1"/>
      <w:marLeft w:val="0"/>
      <w:marRight w:val="0"/>
      <w:marTop w:val="0"/>
      <w:marBottom w:val="0"/>
      <w:divBdr>
        <w:top w:val="none" w:sz="0" w:space="0" w:color="auto"/>
        <w:left w:val="none" w:sz="0" w:space="0" w:color="auto"/>
        <w:bottom w:val="none" w:sz="0" w:space="0" w:color="auto"/>
        <w:right w:val="none" w:sz="0" w:space="0" w:color="auto"/>
      </w:divBdr>
    </w:div>
    <w:div w:id="1460418299">
      <w:bodyDiv w:val="1"/>
      <w:marLeft w:val="0"/>
      <w:marRight w:val="0"/>
      <w:marTop w:val="0"/>
      <w:marBottom w:val="0"/>
      <w:divBdr>
        <w:top w:val="none" w:sz="0" w:space="0" w:color="auto"/>
        <w:left w:val="none" w:sz="0" w:space="0" w:color="auto"/>
        <w:bottom w:val="none" w:sz="0" w:space="0" w:color="auto"/>
        <w:right w:val="none" w:sz="0" w:space="0" w:color="auto"/>
      </w:divBdr>
    </w:div>
    <w:div w:id="1463111476">
      <w:bodyDiv w:val="1"/>
      <w:marLeft w:val="0"/>
      <w:marRight w:val="0"/>
      <w:marTop w:val="0"/>
      <w:marBottom w:val="0"/>
      <w:divBdr>
        <w:top w:val="none" w:sz="0" w:space="0" w:color="auto"/>
        <w:left w:val="none" w:sz="0" w:space="0" w:color="auto"/>
        <w:bottom w:val="none" w:sz="0" w:space="0" w:color="auto"/>
        <w:right w:val="none" w:sz="0" w:space="0" w:color="auto"/>
      </w:divBdr>
    </w:div>
    <w:div w:id="1499345779">
      <w:bodyDiv w:val="1"/>
      <w:marLeft w:val="0"/>
      <w:marRight w:val="0"/>
      <w:marTop w:val="0"/>
      <w:marBottom w:val="0"/>
      <w:divBdr>
        <w:top w:val="none" w:sz="0" w:space="0" w:color="auto"/>
        <w:left w:val="none" w:sz="0" w:space="0" w:color="auto"/>
        <w:bottom w:val="none" w:sz="0" w:space="0" w:color="auto"/>
        <w:right w:val="none" w:sz="0" w:space="0" w:color="auto"/>
      </w:divBdr>
    </w:div>
    <w:div w:id="1525941819">
      <w:bodyDiv w:val="1"/>
      <w:marLeft w:val="0"/>
      <w:marRight w:val="0"/>
      <w:marTop w:val="0"/>
      <w:marBottom w:val="0"/>
      <w:divBdr>
        <w:top w:val="none" w:sz="0" w:space="0" w:color="auto"/>
        <w:left w:val="none" w:sz="0" w:space="0" w:color="auto"/>
        <w:bottom w:val="none" w:sz="0" w:space="0" w:color="auto"/>
        <w:right w:val="none" w:sz="0" w:space="0" w:color="auto"/>
      </w:divBdr>
    </w:div>
    <w:div w:id="1567645764">
      <w:bodyDiv w:val="1"/>
      <w:marLeft w:val="0"/>
      <w:marRight w:val="0"/>
      <w:marTop w:val="0"/>
      <w:marBottom w:val="0"/>
      <w:divBdr>
        <w:top w:val="none" w:sz="0" w:space="0" w:color="auto"/>
        <w:left w:val="none" w:sz="0" w:space="0" w:color="auto"/>
        <w:bottom w:val="none" w:sz="0" w:space="0" w:color="auto"/>
        <w:right w:val="none" w:sz="0" w:space="0" w:color="auto"/>
      </w:divBdr>
    </w:div>
    <w:div w:id="1572274916">
      <w:bodyDiv w:val="1"/>
      <w:marLeft w:val="0"/>
      <w:marRight w:val="0"/>
      <w:marTop w:val="0"/>
      <w:marBottom w:val="0"/>
      <w:divBdr>
        <w:top w:val="none" w:sz="0" w:space="0" w:color="auto"/>
        <w:left w:val="none" w:sz="0" w:space="0" w:color="auto"/>
        <w:bottom w:val="none" w:sz="0" w:space="0" w:color="auto"/>
        <w:right w:val="none" w:sz="0" w:space="0" w:color="auto"/>
      </w:divBdr>
    </w:div>
    <w:div w:id="1586458255">
      <w:bodyDiv w:val="1"/>
      <w:marLeft w:val="0"/>
      <w:marRight w:val="0"/>
      <w:marTop w:val="0"/>
      <w:marBottom w:val="0"/>
      <w:divBdr>
        <w:top w:val="none" w:sz="0" w:space="0" w:color="auto"/>
        <w:left w:val="none" w:sz="0" w:space="0" w:color="auto"/>
        <w:bottom w:val="none" w:sz="0" w:space="0" w:color="auto"/>
        <w:right w:val="none" w:sz="0" w:space="0" w:color="auto"/>
      </w:divBdr>
    </w:div>
    <w:div w:id="1604654862">
      <w:bodyDiv w:val="1"/>
      <w:marLeft w:val="0"/>
      <w:marRight w:val="0"/>
      <w:marTop w:val="0"/>
      <w:marBottom w:val="0"/>
      <w:divBdr>
        <w:top w:val="none" w:sz="0" w:space="0" w:color="auto"/>
        <w:left w:val="none" w:sz="0" w:space="0" w:color="auto"/>
        <w:bottom w:val="none" w:sz="0" w:space="0" w:color="auto"/>
        <w:right w:val="none" w:sz="0" w:space="0" w:color="auto"/>
      </w:divBdr>
    </w:div>
    <w:div w:id="1606038494">
      <w:bodyDiv w:val="1"/>
      <w:marLeft w:val="0"/>
      <w:marRight w:val="0"/>
      <w:marTop w:val="0"/>
      <w:marBottom w:val="0"/>
      <w:divBdr>
        <w:top w:val="none" w:sz="0" w:space="0" w:color="auto"/>
        <w:left w:val="none" w:sz="0" w:space="0" w:color="auto"/>
        <w:bottom w:val="none" w:sz="0" w:space="0" w:color="auto"/>
        <w:right w:val="none" w:sz="0" w:space="0" w:color="auto"/>
      </w:divBdr>
    </w:div>
    <w:div w:id="1628193545">
      <w:bodyDiv w:val="1"/>
      <w:marLeft w:val="0"/>
      <w:marRight w:val="0"/>
      <w:marTop w:val="0"/>
      <w:marBottom w:val="0"/>
      <w:divBdr>
        <w:top w:val="none" w:sz="0" w:space="0" w:color="auto"/>
        <w:left w:val="none" w:sz="0" w:space="0" w:color="auto"/>
        <w:bottom w:val="none" w:sz="0" w:space="0" w:color="auto"/>
        <w:right w:val="none" w:sz="0" w:space="0" w:color="auto"/>
      </w:divBdr>
    </w:div>
    <w:div w:id="1630470319">
      <w:bodyDiv w:val="1"/>
      <w:marLeft w:val="0"/>
      <w:marRight w:val="0"/>
      <w:marTop w:val="0"/>
      <w:marBottom w:val="0"/>
      <w:divBdr>
        <w:top w:val="none" w:sz="0" w:space="0" w:color="auto"/>
        <w:left w:val="none" w:sz="0" w:space="0" w:color="auto"/>
        <w:bottom w:val="none" w:sz="0" w:space="0" w:color="auto"/>
        <w:right w:val="none" w:sz="0" w:space="0" w:color="auto"/>
      </w:divBdr>
    </w:div>
    <w:div w:id="1681463426">
      <w:bodyDiv w:val="1"/>
      <w:marLeft w:val="0"/>
      <w:marRight w:val="0"/>
      <w:marTop w:val="0"/>
      <w:marBottom w:val="0"/>
      <w:divBdr>
        <w:top w:val="none" w:sz="0" w:space="0" w:color="auto"/>
        <w:left w:val="none" w:sz="0" w:space="0" w:color="auto"/>
        <w:bottom w:val="none" w:sz="0" w:space="0" w:color="auto"/>
        <w:right w:val="none" w:sz="0" w:space="0" w:color="auto"/>
      </w:divBdr>
    </w:div>
    <w:div w:id="1697610216">
      <w:bodyDiv w:val="1"/>
      <w:marLeft w:val="0"/>
      <w:marRight w:val="0"/>
      <w:marTop w:val="0"/>
      <w:marBottom w:val="0"/>
      <w:divBdr>
        <w:top w:val="none" w:sz="0" w:space="0" w:color="auto"/>
        <w:left w:val="none" w:sz="0" w:space="0" w:color="auto"/>
        <w:bottom w:val="none" w:sz="0" w:space="0" w:color="auto"/>
        <w:right w:val="none" w:sz="0" w:space="0" w:color="auto"/>
      </w:divBdr>
    </w:div>
    <w:div w:id="1699237976">
      <w:bodyDiv w:val="1"/>
      <w:marLeft w:val="0"/>
      <w:marRight w:val="0"/>
      <w:marTop w:val="0"/>
      <w:marBottom w:val="0"/>
      <w:divBdr>
        <w:top w:val="none" w:sz="0" w:space="0" w:color="auto"/>
        <w:left w:val="none" w:sz="0" w:space="0" w:color="auto"/>
        <w:bottom w:val="none" w:sz="0" w:space="0" w:color="auto"/>
        <w:right w:val="none" w:sz="0" w:space="0" w:color="auto"/>
      </w:divBdr>
    </w:div>
    <w:div w:id="1706521425">
      <w:bodyDiv w:val="1"/>
      <w:marLeft w:val="0"/>
      <w:marRight w:val="0"/>
      <w:marTop w:val="0"/>
      <w:marBottom w:val="0"/>
      <w:divBdr>
        <w:top w:val="none" w:sz="0" w:space="0" w:color="auto"/>
        <w:left w:val="none" w:sz="0" w:space="0" w:color="auto"/>
        <w:bottom w:val="none" w:sz="0" w:space="0" w:color="auto"/>
        <w:right w:val="none" w:sz="0" w:space="0" w:color="auto"/>
      </w:divBdr>
    </w:div>
    <w:div w:id="1707213981">
      <w:bodyDiv w:val="1"/>
      <w:marLeft w:val="0"/>
      <w:marRight w:val="0"/>
      <w:marTop w:val="0"/>
      <w:marBottom w:val="0"/>
      <w:divBdr>
        <w:top w:val="none" w:sz="0" w:space="0" w:color="auto"/>
        <w:left w:val="none" w:sz="0" w:space="0" w:color="auto"/>
        <w:bottom w:val="none" w:sz="0" w:space="0" w:color="auto"/>
        <w:right w:val="none" w:sz="0" w:space="0" w:color="auto"/>
      </w:divBdr>
    </w:div>
    <w:div w:id="1726175724">
      <w:bodyDiv w:val="1"/>
      <w:marLeft w:val="0"/>
      <w:marRight w:val="0"/>
      <w:marTop w:val="0"/>
      <w:marBottom w:val="0"/>
      <w:divBdr>
        <w:top w:val="none" w:sz="0" w:space="0" w:color="auto"/>
        <w:left w:val="none" w:sz="0" w:space="0" w:color="auto"/>
        <w:bottom w:val="none" w:sz="0" w:space="0" w:color="auto"/>
        <w:right w:val="none" w:sz="0" w:space="0" w:color="auto"/>
      </w:divBdr>
    </w:div>
    <w:div w:id="1726756900">
      <w:bodyDiv w:val="1"/>
      <w:marLeft w:val="0"/>
      <w:marRight w:val="0"/>
      <w:marTop w:val="0"/>
      <w:marBottom w:val="0"/>
      <w:divBdr>
        <w:top w:val="none" w:sz="0" w:space="0" w:color="auto"/>
        <w:left w:val="none" w:sz="0" w:space="0" w:color="auto"/>
        <w:bottom w:val="none" w:sz="0" w:space="0" w:color="auto"/>
        <w:right w:val="none" w:sz="0" w:space="0" w:color="auto"/>
      </w:divBdr>
    </w:div>
    <w:div w:id="1766146766">
      <w:bodyDiv w:val="1"/>
      <w:marLeft w:val="0"/>
      <w:marRight w:val="0"/>
      <w:marTop w:val="0"/>
      <w:marBottom w:val="0"/>
      <w:divBdr>
        <w:top w:val="none" w:sz="0" w:space="0" w:color="auto"/>
        <w:left w:val="none" w:sz="0" w:space="0" w:color="auto"/>
        <w:bottom w:val="none" w:sz="0" w:space="0" w:color="auto"/>
        <w:right w:val="none" w:sz="0" w:space="0" w:color="auto"/>
      </w:divBdr>
    </w:div>
    <w:div w:id="1769160156">
      <w:bodyDiv w:val="1"/>
      <w:marLeft w:val="0"/>
      <w:marRight w:val="0"/>
      <w:marTop w:val="0"/>
      <w:marBottom w:val="0"/>
      <w:divBdr>
        <w:top w:val="none" w:sz="0" w:space="0" w:color="auto"/>
        <w:left w:val="none" w:sz="0" w:space="0" w:color="auto"/>
        <w:bottom w:val="none" w:sz="0" w:space="0" w:color="auto"/>
        <w:right w:val="none" w:sz="0" w:space="0" w:color="auto"/>
      </w:divBdr>
    </w:div>
    <w:div w:id="1779177707">
      <w:bodyDiv w:val="1"/>
      <w:marLeft w:val="0"/>
      <w:marRight w:val="0"/>
      <w:marTop w:val="0"/>
      <w:marBottom w:val="0"/>
      <w:divBdr>
        <w:top w:val="none" w:sz="0" w:space="0" w:color="auto"/>
        <w:left w:val="none" w:sz="0" w:space="0" w:color="auto"/>
        <w:bottom w:val="none" w:sz="0" w:space="0" w:color="auto"/>
        <w:right w:val="none" w:sz="0" w:space="0" w:color="auto"/>
      </w:divBdr>
    </w:div>
    <w:div w:id="1802915587">
      <w:bodyDiv w:val="1"/>
      <w:marLeft w:val="0"/>
      <w:marRight w:val="0"/>
      <w:marTop w:val="0"/>
      <w:marBottom w:val="0"/>
      <w:divBdr>
        <w:top w:val="none" w:sz="0" w:space="0" w:color="auto"/>
        <w:left w:val="none" w:sz="0" w:space="0" w:color="auto"/>
        <w:bottom w:val="none" w:sz="0" w:space="0" w:color="auto"/>
        <w:right w:val="none" w:sz="0" w:space="0" w:color="auto"/>
      </w:divBdr>
    </w:div>
    <w:div w:id="1818454581">
      <w:bodyDiv w:val="1"/>
      <w:marLeft w:val="0"/>
      <w:marRight w:val="0"/>
      <w:marTop w:val="0"/>
      <w:marBottom w:val="0"/>
      <w:divBdr>
        <w:top w:val="none" w:sz="0" w:space="0" w:color="auto"/>
        <w:left w:val="none" w:sz="0" w:space="0" w:color="auto"/>
        <w:bottom w:val="none" w:sz="0" w:space="0" w:color="auto"/>
        <w:right w:val="none" w:sz="0" w:space="0" w:color="auto"/>
      </w:divBdr>
    </w:div>
    <w:div w:id="1855076245">
      <w:bodyDiv w:val="1"/>
      <w:marLeft w:val="0"/>
      <w:marRight w:val="0"/>
      <w:marTop w:val="0"/>
      <w:marBottom w:val="0"/>
      <w:divBdr>
        <w:top w:val="none" w:sz="0" w:space="0" w:color="auto"/>
        <w:left w:val="none" w:sz="0" w:space="0" w:color="auto"/>
        <w:bottom w:val="none" w:sz="0" w:space="0" w:color="auto"/>
        <w:right w:val="none" w:sz="0" w:space="0" w:color="auto"/>
      </w:divBdr>
    </w:div>
    <w:div w:id="1876388443">
      <w:bodyDiv w:val="1"/>
      <w:marLeft w:val="0"/>
      <w:marRight w:val="0"/>
      <w:marTop w:val="0"/>
      <w:marBottom w:val="0"/>
      <w:divBdr>
        <w:top w:val="none" w:sz="0" w:space="0" w:color="auto"/>
        <w:left w:val="none" w:sz="0" w:space="0" w:color="auto"/>
        <w:bottom w:val="none" w:sz="0" w:space="0" w:color="auto"/>
        <w:right w:val="none" w:sz="0" w:space="0" w:color="auto"/>
      </w:divBdr>
    </w:div>
    <w:div w:id="1918051485">
      <w:bodyDiv w:val="1"/>
      <w:marLeft w:val="0"/>
      <w:marRight w:val="0"/>
      <w:marTop w:val="0"/>
      <w:marBottom w:val="0"/>
      <w:divBdr>
        <w:top w:val="none" w:sz="0" w:space="0" w:color="auto"/>
        <w:left w:val="none" w:sz="0" w:space="0" w:color="auto"/>
        <w:bottom w:val="none" w:sz="0" w:space="0" w:color="auto"/>
        <w:right w:val="none" w:sz="0" w:space="0" w:color="auto"/>
      </w:divBdr>
    </w:div>
    <w:div w:id="1927960234">
      <w:bodyDiv w:val="1"/>
      <w:marLeft w:val="0"/>
      <w:marRight w:val="0"/>
      <w:marTop w:val="0"/>
      <w:marBottom w:val="0"/>
      <w:divBdr>
        <w:top w:val="none" w:sz="0" w:space="0" w:color="auto"/>
        <w:left w:val="none" w:sz="0" w:space="0" w:color="auto"/>
        <w:bottom w:val="none" w:sz="0" w:space="0" w:color="auto"/>
        <w:right w:val="none" w:sz="0" w:space="0" w:color="auto"/>
      </w:divBdr>
    </w:div>
    <w:div w:id="1929656671">
      <w:bodyDiv w:val="1"/>
      <w:marLeft w:val="0"/>
      <w:marRight w:val="0"/>
      <w:marTop w:val="0"/>
      <w:marBottom w:val="0"/>
      <w:divBdr>
        <w:top w:val="none" w:sz="0" w:space="0" w:color="auto"/>
        <w:left w:val="none" w:sz="0" w:space="0" w:color="auto"/>
        <w:bottom w:val="none" w:sz="0" w:space="0" w:color="auto"/>
        <w:right w:val="none" w:sz="0" w:space="0" w:color="auto"/>
      </w:divBdr>
    </w:div>
    <w:div w:id="2001805608">
      <w:bodyDiv w:val="1"/>
      <w:marLeft w:val="0"/>
      <w:marRight w:val="0"/>
      <w:marTop w:val="0"/>
      <w:marBottom w:val="0"/>
      <w:divBdr>
        <w:top w:val="none" w:sz="0" w:space="0" w:color="auto"/>
        <w:left w:val="none" w:sz="0" w:space="0" w:color="auto"/>
        <w:bottom w:val="none" w:sz="0" w:space="0" w:color="auto"/>
        <w:right w:val="none" w:sz="0" w:space="0" w:color="auto"/>
      </w:divBdr>
    </w:div>
    <w:div w:id="2020545748">
      <w:bodyDiv w:val="1"/>
      <w:marLeft w:val="0"/>
      <w:marRight w:val="0"/>
      <w:marTop w:val="0"/>
      <w:marBottom w:val="0"/>
      <w:divBdr>
        <w:top w:val="none" w:sz="0" w:space="0" w:color="auto"/>
        <w:left w:val="none" w:sz="0" w:space="0" w:color="auto"/>
        <w:bottom w:val="none" w:sz="0" w:space="0" w:color="auto"/>
        <w:right w:val="none" w:sz="0" w:space="0" w:color="auto"/>
      </w:divBdr>
    </w:div>
    <w:div w:id="2048018327">
      <w:bodyDiv w:val="1"/>
      <w:marLeft w:val="0"/>
      <w:marRight w:val="0"/>
      <w:marTop w:val="0"/>
      <w:marBottom w:val="0"/>
      <w:divBdr>
        <w:top w:val="none" w:sz="0" w:space="0" w:color="auto"/>
        <w:left w:val="none" w:sz="0" w:space="0" w:color="auto"/>
        <w:bottom w:val="none" w:sz="0" w:space="0" w:color="auto"/>
        <w:right w:val="none" w:sz="0" w:space="0" w:color="auto"/>
      </w:divBdr>
    </w:div>
    <w:div w:id="2062822973">
      <w:bodyDiv w:val="1"/>
      <w:marLeft w:val="0"/>
      <w:marRight w:val="0"/>
      <w:marTop w:val="0"/>
      <w:marBottom w:val="0"/>
      <w:divBdr>
        <w:top w:val="none" w:sz="0" w:space="0" w:color="auto"/>
        <w:left w:val="none" w:sz="0" w:space="0" w:color="auto"/>
        <w:bottom w:val="none" w:sz="0" w:space="0" w:color="auto"/>
        <w:right w:val="none" w:sz="0" w:space="0" w:color="auto"/>
      </w:divBdr>
    </w:div>
    <w:div w:id="2068607702">
      <w:bodyDiv w:val="1"/>
      <w:marLeft w:val="0"/>
      <w:marRight w:val="0"/>
      <w:marTop w:val="0"/>
      <w:marBottom w:val="0"/>
      <w:divBdr>
        <w:top w:val="none" w:sz="0" w:space="0" w:color="auto"/>
        <w:left w:val="none" w:sz="0" w:space="0" w:color="auto"/>
        <w:bottom w:val="none" w:sz="0" w:space="0" w:color="auto"/>
        <w:right w:val="none" w:sz="0" w:space="0" w:color="auto"/>
      </w:divBdr>
    </w:div>
    <w:div w:id="2070035849">
      <w:bodyDiv w:val="1"/>
      <w:marLeft w:val="0"/>
      <w:marRight w:val="0"/>
      <w:marTop w:val="0"/>
      <w:marBottom w:val="0"/>
      <w:divBdr>
        <w:top w:val="none" w:sz="0" w:space="0" w:color="auto"/>
        <w:left w:val="none" w:sz="0" w:space="0" w:color="auto"/>
        <w:bottom w:val="none" w:sz="0" w:space="0" w:color="auto"/>
        <w:right w:val="none" w:sz="0" w:space="0" w:color="auto"/>
      </w:divBdr>
    </w:div>
    <w:div w:id="2078941712">
      <w:bodyDiv w:val="1"/>
      <w:marLeft w:val="0"/>
      <w:marRight w:val="0"/>
      <w:marTop w:val="0"/>
      <w:marBottom w:val="0"/>
      <w:divBdr>
        <w:top w:val="none" w:sz="0" w:space="0" w:color="auto"/>
        <w:left w:val="none" w:sz="0" w:space="0" w:color="auto"/>
        <w:bottom w:val="none" w:sz="0" w:space="0" w:color="auto"/>
        <w:right w:val="none" w:sz="0" w:space="0" w:color="auto"/>
      </w:divBdr>
    </w:div>
    <w:div w:id="2094662622">
      <w:bodyDiv w:val="1"/>
      <w:marLeft w:val="0"/>
      <w:marRight w:val="0"/>
      <w:marTop w:val="0"/>
      <w:marBottom w:val="0"/>
      <w:divBdr>
        <w:top w:val="none" w:sz="0" w:space="0" w:color="auto"/>
        <w:left w:val="none" w:sz="0" w:space="0" w:color="auto"/>
        <w:bottom w:val="none" w:sz="0" w:space="0" w:color="auto"/>
        <w:right w:val="none" w:sz="0" w:space="0" w:color="auto"/>
      </w:divBdr>
    </w:div>
    <w:div w:id="2103840450">
      <w:bodyDiv w:val="1"/>
      <w:marLeft w:val="0"/>
      <w:marRight w:val="0"/>
      <w:marTop w:val="0"/>
      <w:marBottom w:val="0"/>
      <w:divBdr>
        <w:top w:val="none" w:sz="0" w:space="0" w:color="auto"/>
        <w:left w:val="none" w:sz="0" w:space="0" w:color="auto"/>
        <w:bottom w:val="none" w:sz="0" w:space="0" w:color="auto"/>
        <w:right w:val="none" w:sz="0" w:space="0" w:color="auto"/>
      </w:divBdr>
    </w:div>
    <w:div w:id="2114930716">
      <w:bodyDiv w:val="1"/>
      <w:marLeft w:val="0"/>
      <w:marRight w:val="0"/>
      <w:marTop w:val="0"/>
      <w:marBottom w:val="0"/>
      <w:divBdr>
        <w:top w:val="none" w:sz="0" w:space="0" w:color="auto"/>
        <w:left w:val="none" w:sz="0" w:space="0" w:color="auto"/>
        <w:bottom w:val="none" w:sz="0" w:space="0" w:color="auto"/>
        <w:right w:val="none" w:sz="0" w:space="0" w:color="auto"/>
      </w:divBdr>
    </w:div>
    <w:div w:id="2123575935">
      <w:bodyDiv w:val="1"/>
      <w:marLeft w:val="0"/>
      <w:marRight w:val="0"/>
      <w:marTop w:val="0"/>
      <w:marBottom w:val="0"/>
      <w:divBdr>
        <w:top w:val="none" w:sz="0" w:space="0" w:color="auto"/>
        <w:left w:val="none" w:sz="0" w:space="0" w:color="auto"/>
        <w:bottom w:val="none" w:sz="0" w:space="0" w:color="auto"/>
        <w:right w:val="none" w:sz="0" w:space="0" w:color="auto"/>
      </w:divBdr>
    </w:div>
    <w:div w:id="2129666237">
      <w:bodyDiv w:val="1"/>
      <w:marLeft w:val="0"/>
      <w:marRight w:val="0"/>
      <w:marTop w:val="0"/>
      <w:marBottom w:val="0"/>
      <w:divBdr>
        <w:top w:val="none" w:sz="0" w:space="0" w:color="auto"/>
        <w:left w:val="none" w:sz="0" w:space="0" w:color="auto"/>
        <w:bottom w:val="none" w:sz="0" w:space="0" w:color="auto"/>
        <w:right w:val="none" w:sz="0" w:space="0" w:color="auto"/>
      </w:divBdr>
    </w:div>
    <w:div w:id="2130539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3.emf"/><Relationship Id="rId21" Type="http://schemas.openxmlformats.org/officeDocument/2006/relationships/image" Target="media/image9.emf"/><Relationship Id="rId34" Type="http://schemas.openxmlformats.org/officeDocument/2006/relationships/image" Target="media/image21.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chart" Target="charts/chart1.xm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dailevit@gmail.com" TargetMode="External"/><Relationship Id="rId22" Type="http://schemas.openxmlformats.org/officeDocument/2006/relationships/image" Target="media/image10.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os\Python_script\Github\IBNR-NIIF-17\Analisis%20extrapolaci&#243;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RC Cosas, Factor</a:t>
            </a:r>
            <a:r>
              <a:rPr lang="es-ES" baseline="0"/>
              <a:t> de desarrollo individual</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v>Serie real</c:v>
          </c:tx>
          <c:spPr>
            <a:ln w="28575" cap="rnd">
              <a:solidFill>
                <a:schemeClr val="accent1"/>
              </a:solidFill>
              <a:round/>
            </a:ln>
            <a:effectLst/>
          </c:spPr>
          <c:marker>
            <c:symbol val="none"/>
          </c:marker>
          <c:val>
            <c:numRef>
              <c:f>'RC Cosas'!$D$2:$D$22</c:f>
              <c:numCache>
                <c:formatCode>General</c:formatCode>
                <c:ptCount val="21"/>
                <c:pt idx="0">
                  <c:v>1.1944551199766771</c:v>
                </c:pt>
                <c:pt idx="1">
                  <c:v>1.03362632206403</c:v>
                </c:pt>
                <c:pt idx="2">
                  <c:v>1.014597944623685</c:v>
                </c:pt>
                <c:pt idx="3">
                  <c:v>1.0111667797381609</c:v>
                </c:pt>
                <c:pt idx="4">
                  <c:v>1.007633508551379</c:v>
                </c:pt>
                <c:pt idx="5">
                  <c:v>1.0045291261556271</c:v>
                </c:pt>
                <c:pt idx="6">
                  <c:v>1.0033254774293481</c:v>
                </c:pt>
                <c:pt idx="7">
                  <c:v>1.002544713937406</c:v>
                </c:pt>
                <c:pt idx="8">
                  <c:v>1.002009694489683</c:v>
                </c:pt>
                <c:pt idx="9">
                  <c:v>1.0016271690764871</c:v>
                </c:pt>
                <c:pt idx="10">
                  <c:v>1.0013442570733671</c:v>
                </c:pt>
                <c:pt idx="11">
                  <c:v>1.001129157679008</c:v>
                </c:pt>
                <c:pt idx="12">
                  <c:v>1.0009618156212099</c:v>
                </c:pt>
                <c:pt idx="13">
                  <c:v>1.0008290756862781</c:v>
                </c:pt>
                <c:pt idx="14">
                  <c:v>1.0007220184676759</c:v>
                </c:pt>
                <c:pt idx="15">
                  <c:v>1.0006344233268341</c:v>
                </c:pt>
                <c:pt idx="16">
                  <c:v>1.0005618447468481</c:v>
                </c:pt>
                <c:pt idx="17">
                  <c:v>1.000501037482179</c:v>
                </c:pt>
                <c:pt idx="18">
                  <c:v>1.00044958771385</c:v>
                </c:pt>
                <c:pt idx="19">
                  <c:v>1.000405669966927</c:v>
                </c:pt>
                <c:pt idx="20">
                  <c:v>1.000367883070816</c:v>
                </c:pt>
              </c:numCache>
            </c:numRef>
          </c:val>
          <c:smooth val="0"/>
          <c:extLst>
            <c:ext xmlns:c16="http://schemas.microsoft.com/office/drawing/2014/chart" uri="{C3380CC4-5D6E-409C-BE32-E72D297353CC}">
              <c16:uniqueId val="{00000000-B506-499B-9706-2451152298A1}"/>
            </c:ext>
          </c:extLst>
        </c:ser>
        <c:ser>
          <c:idx val="1"/>
          <c:order val="1"/>
          <c:tx>
            <c:v>Extrapolación</c:v>
          </c:tx>
          <c:spPr>
            <a:ln w="28575" cap="rnd">
              <a:solidFill>
                <a:schemeClr val="accent2"/>
              </a:solidFill>
              <a:round/>
            </a:ln>
            <a:effectLst/>
          </c:spPr>
          <c:marker>
            <c:symbol val="none"/>
          </c:marker>
          <c:val>
            <c:numRef>
              <c:f>'RC Cosas'!$E$2:$E$22</c:f>
              <c:numCache>
                <c:formatCode>General</c:formatCode>
                <c:ptCount val="21"/>
                <c:pt idx="5">
                  <c:v>1.0045291261556271</c:v>
                </c:pt>
                <c:pt idx="6">
                  <c:v>1.0033254774293481</c:v>
                </c:pt>
                <c:pt idx="7">
                  <c:v>1.002544713937406</c:v>
                </c:pt>
                <c:pt idx="8">
                  <c:v>1.002009694489683</c:v>
                </c:pt>
                <c:pt idx="9">
                  <c:v>1.0016271690764871</c:v>
                </c:pt>
                <c:pt idx="10">
                  <c:v>1.0013442570733671</c:v>
                </c:pt>
                <c:pt idx="11">
                  <c:v>1.001129157679008</c:v>
                </c:pt>
                <c:pt idx="12">
                  <c:v>1.0009618156212099</c:v>
                </c:pt>
                <c:pt idx="13">
                  <c:v>1.0008290756862781</c:v>
                </c:pt>
                <c:pt idx="14">
                  <c:v>1.0007220184676759</c:v>
                </c:pt>
                <c:pt idx="15">
                  <c:v>1.0006344233268341</c:v>
                </c:pt>
                <c:pt idx="16">
                  <c:v>1.0005618447468481</c:v>
                </c:pt>
                <c:pt idx="17">
                  <c:v>1.000501037482179</c:v>
                </c:pt>
                <c:pt idx="18">
                  <c:v>1.00044958771385</c:v>
                </c:pt>
                <c:pt idx="19">
                  <c:v>1.000405669966927</c:v>
                </c:pt>
                <c:pt idx="20">
                  <c:v>1.000367883070816</c:v>
                </c:pt>
              </c:numCache>
            </c:numRef>
          </c:val>
          <c:smooth val="0"/>
          <c:extLst>
            <c:ext xmlns:c16="http://schemas.microsoft.com/office/drawing/2014/chart" uri="{C3380CC4-5D6E-409C-BE32-E72D297353CC}">
              <c16:uniqueId val="{00000001-B506-499B-9706-2451152298A1}"/>
            </c:ext>
          </c:extLst>
        </c:ser>
        <c:dLbls>
          <c:showLegendKey val="0"/>
          <c:showVal val="0"/>
          <c:showCatName val="0"/>
          <c:showSerName val="0"/>
          <c:showPercent val="0"/>
          <c:showBubbleSize val="0"/>
        </c:dLbls>
        <c:smooth val="0"/>
        <c:axId val="992709888"/>
        <c:axId val="992696448"/>
      </c:lineChart>
      <c:catAx>
        <c:axId val="992709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Periodo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92696448"/>
        <c:crosses val="autoZero"/>
        <c:auto val="1"/>
        <c:lblAlgn val="ctr"/>
        <c:lblOffset val="100"/>
        <c:noMultiLvlLbl val="0"/>
      </c:catAx>
      <c:valAx>
        <c:axId val="992696448"/>
        <c:scaling>
          <c:orientation val="minMax"/>
          <c:max val="1.2"/>
          <c:min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Valor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992709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M7ZIM5yJwZamvYMNoClUbA3Aw==">CgMxLjAaJwoBMBIiCiAIBCocCgtBQUFCdUppa0xYSRAIGgtBQUFCdUppa0xYSRonCgExEiIKIAgEKhwKC0FBQUJ1SWJRM2dREAgaC0FBQUJ1SWJRM2dRGicKATISIgogCAQqHAoLQUFBQnVJYlEzZ1EQCBoLQUFBQnMzU0h6a2caJwoBMxIiCiAIBCocCgtBQUFCdUliUTNnURAIGgtBQUFCd2tXN1RJYxonCgE0EiIKIAgEKhwKC0FBQUJ1SWJRM2dREAgaC0FBQUJ3c3pHR2ZzGicKATUSIgogCAQqHAoLQUFBQnVJYlEzZ1EQCBoLQUFBQnktTzJWMmcaJwoBNhIiCiAIBCocCgtBQUFCdUliUTNnaxAIGgtBQUFCdUliUTNnaxonCgE3EiIKIAgEKhwKC0FBQUJ1SWJRM2dnEAgaC0FBQUJ1SWJRM2dnGicKATgSIgogCAQqHAoLQUFBQnVJYlEzZ2cQCBoLQUFBQnc5TEp4YWcaJwoBORIiCiAIBCocCgtBQUFCdUliUTNnYxAIGgtBQUFCdUliUTNnYxooCgIxMBIiCiAIBCocCgtBQUFCd2Q3NDM5cxAIGgtBQUFCd2Q3NDM5cxooCgIxMRIiCiAIBCocCgtBQUFCd3UwR1NXSRAIGgtBQUFCd3UwR1NXSRooCgIxMhIiCiAIBCocCgtBQUFCd2xPczNScxAIGgtBQUFCd2xPczNScxooCgIxMxIiCiAIBCocCgtBQUFCeS1PMlYzMBAIGgtBQUFCeS1PMlYzMBooCgIxNBIiCiAIBCocCgtBQUFCd2tXN1RGZxAIGgtBQUFCd2tXN1RGZxooCgIxNRIiCiAIBCocCgtBQUFCd2tXN1RGZxAIGgtBQUFCd3N6R0d6SRooCgIxNhIiCiAIBCocCgtBQUFCd3N6R0d6QRAIGgtBQUFCd3N6R0d6QRooCgIxNxIiCiAIBCocCgtBQUFCd3N6R0d6RRAIGgtBQUFCd3N6R0d6RRooCgIxOBIiCiAIBCocCgtBQUFCd3lVUzlLQRAIGgtBQUFCd3lVUzlLQRooCgIxORIiCiAIBCocCgtBQUFCd3lVUzlLQRAIGgtBQUFCd3lVUzlLRRooCgIyMBIiCiAIBCocCgtBQUFCd3paSDMwVRAIGgtBQUFCd3paSDMwVRooCgIyMRIiCiAIBCocCgtBQUFCd3paSDMwVRAIGgtBQUFCdzlMSnhPURooCgIyMhIiCiAIBCocCgtBQUFCdzgtOUNvURAIGgtBQUFCdzgtOUNvURooCgIyMxIiCiAIBCocCgtBQUFCdzlMSnhOVRAIGgtBQUFCdzlMSnhOVRooCgIyNBIiCiAIBCocCgtBQUFCd3paSDMwaxAIGgtBQUFCd3paSDMwaxooCgIyNRIiCiAIBCocCgtBQUFCeGNpUmozaxAIGgtBQUFCeGNpUmozaxooCgIyNhIiCiAIBCocCgtBQUFCeENqd0tyNBAIGgtBQUFCeENqd0tyNBooCgIyNxIiCiAIBCocCgtBQUFCeENqd0tyNBAIGgtBQUFCdV9pR0VPURooCgIyOBIiCiAIBCocCgtBQUFCdV9pR0VPaxAIGgtBQUFCdV9pR0VPaxooCgIyORIiCiAIBCocCgtBQUFCeFFIMEJDZxAIGgtBQUFCeFFIMEJDZxooCgIzMBIiCiAIBCocCgtBQUFCeFFIMEJDZxAIGgtBQUFCekh3R2NnbxooCgIzMRIiCiAIBCocCgtBQUFCeFFIMEJDZxAIGgtBQUFCelVscEhZWSKBAwoLQUFBQnhjaVJqM2sSzwIKC0FBQUJ4Y2lSajNrEgtBQUFCeGNpUmozaxoiCgl0ZXh0L2h0bWwSFVBvbmVyIGJpZW4gbGEgZm9ybXVsYSIjCgp0ZXh0L3BsYWluEhVQb25lciBiaWVuIGxhIGZvcm11bGEqGyIVMTAyNzE5MTA5NDE3MTA3MDM2ODcxKAA4ADDGvqnysDM4xr6p8rAzSn8KCnRleHQvcGxhaW4ScVtmb3JtdWxhXSBmZGk9MSthKnReXi1iCkRvbmRlOgpmZGkgZXMgZWwgZmFjdG9yIGRlIGRlc2Fycm9sbG8gZW4gagp0IGVzIGVsIHBlcmlvZG8gZGUgZGVzYXJyb2xsbyBjb3JyZXNwb25kaWVudGVzWgw1dGZlNnFvaTdrdWlyAiAAeACaAQYIABAAGACqARcSFVBvbmVyIGJpZW4gbGEgZm9ybXVsYbABALgBAMgBABjGvqnysDMgxr6p8rAzMABCEGtpeC5zMDRobDJmcThzYjQitAIKC0FBQUJ1SWJRM2drEooCCgtBQUFCdUliUTNnaxILQUFBQnVJYlEzZ2saGgoJdGV4dC9odG1sEg1BZ3JlZ2FyIENpdGFzIhsKCnRleHQvcGxhaW4SDUFncmVnYXIgQ2l0YXMqPQoEQWxleBo1Ly9zc2wuZ3N0YXRpYy5jb20vZG9jcy9jb21tb24vYmx1ZV9zaWxob3VldHRlOTYtMC5wbmcwwMuD+qUzOMDLg/qlM3I/CgRBbGV4GjcKNS8vc3NsLmdzdGF0aWMuY29tL2RvY3MvY29tbW9uL2JsdWVfc2lsaG91ZXR0ZTk2LTAucG5neACIAQGaAQYIABAAGACqAQ8SDUFncmVnYXIgQ2l0YXOwAQC4AQHIAQAYwMuD+qUzIMDLg/qlMzAAQghraXguY210MiLMAgoLQUFBQnVJYlEzZ2MSogIKC0FBQUJ1SWJRM2djEgtBQUFCdUliUTNnYxoiCgl0ZXh0L2h0bWwSFUFncmVnYXIgUGllIGRlIHBhZ2luYSIjCgp0ZXh0L3BsYWluEhVBZ3JlZ2FyIFBpZSBkZSBwYWdpbmEqPQoEQWxleBo1Ly9zc2wuZ3N0YXRpYy5jb20vZG9jcy9jb21tb24vYmx1ZV9zaWxob3VldHRlOTYtMC5wbmcwgPWK+qUzOID1ivqlM3I/CgRBbGV4GjcKNS8vc3NsLmdzdGF0aWMuY29tL2RvY3MvY29tbW9uL2JsdWVfc2lsaG91ZXR0ZTk2LTAucG5neACIAQGaAQYIABAAGACqARcSFUFncmVnYXIgUGllIGRlIHBhZ2luYbABALgBAcgBABiA9Yr6pTMggPWK+qUzMABCCGtpeC5jbXQ0IvUHCgtBQUFCeFFIMEJDZxLDBwoLQUFBQnhRSDBCQ2cSC0FBQUJ4UUgwQkNnGiEKCXRleHQvaHRtbBIUSXIgZGlyZWN0byBjb24gVFZhci4iIgoKdGV4dC9wbGFpbhIUSXIgZGlyZWN0byBjb24gVFZhci4qGyIVMTAyNzE5MTA5NDE3MTA3MDM2ODcxKAA4ADCH5syHsDM4j6OHosIzQvoBCgtBQUFCekh3R2NnbxILQUFBQnhRSDBCQ2caMQoJdGV4dC9odG1sEiRUVmFSIGVzIG11eSBzZW5zaWJsZSwgdm95IGNvbiBlbCBWYVIiMgoKdGV4dC9wbGFpbhIkVFZhUiBlcyBtdXkgc2Vuc2libGUsIHZveSBjb24gZWwgVmFSKhsiFTEwMjcxOTEwOTQxNzEwNzAzNjg3MSgAOAAw7LOWgMAzOOyzloDAM1oLaXhjcHB3cGZ1b3JyAiAAeACaAQYIABAAGACqASYSJFRWYVIgZXMgbXV5IHNlbnNpYmxlLCB2b3kgY29uIGVsIFZhUrABALgBAMgBAELKAwoLQUFBQnpVbHBIWVkSC0FBQUJ4UUgwQkNnGnYKCXRleHQvaHRtbBJpSGljZSBhbmFsaXNpcyBkZSBzZW5zaWJpbGlkYWQgeSBxdWl0YW5kbyBsb3Mgb3V0bGllcnMsIHF1ZWRhIGxvIG1pc21vLiBMYSBjb2xhIGVzIE1VWSBwZXNhZGEuIFVzbyBUVmFSIDcwIncKCnRleHQvcGxhaW4SaUhpY2UgYW5hbGlzaXMgZGUgc2Vuc2liaWxpZGFkIHkgcXVpdGFuZG8gbG9zIG91dGxpZXJzLCBxdWVkYSBsbyBtaXNtby4gTGEgY29sYSBlcyBNVVkgcGVzYWRhLiBVc28gVFZhUiA3MCobIhUxMDI3MTkxMDk0MTcxMDcwMzY4NzEoADgAMI+jh6LCMziPo4eiwjNaDHh5dDJqc2h1cW1raHICIAB4AJoBBggAEAAYAKoBaxJpSGljZSBhbmFsaXNpcyBkZSBzZW5zaWJpbGlkYWQgeSBxdWl0YW5kbyBsb3Mgb3V0bGllcnMsIHF1ZWRhIGxvIG1pc21vLiBMYSBjb2xhIGVzIE1VWSBwZXNhZGEuIFVzbyBUVmFSIDcwsAEAuAEAyAEASiwKCnRleHQvcGxhaW4SHkFqdXN0ZSBkZSByaWVzZ28gTm8gRmluYW5jaWVyb1oMc2doazBjZHlnMmxzcgIgAHgAmgEGCAAQABgAqgEWEhRJciBkaXJlY3RvIGNvbiBUVmFyLrABALgBAMgBABiH5syHsDMgj6OHosIzMABCEGtpeC5wam9lMDFpNnljbHoilwQKC0FBQUJ1SWJRM2dnEu0DCgtBQUFCdUliUTNnZxILQUFBQnVJYlEzZ2caLgoJdGV4dC9odG1sEiFBZ3JlZ2FyIHNpIHVzbyBtdWNoYSBub21lbmNsYXR1cmEiLwoKdGV4dC9wbGFpbhIhQWdyZWdhciBzaSB1c28gbXVjaGEgbm9tZW5jbGF0dXJhKj0KBEFsZXgaNS8vc3NsLmdzdGF0aWMuY29tL2RvY3MvY29tbW9uL2JsdWVfc2lsaG91ZXR0ZTk2LTAucG5nMODJjvqlMzjWjY+JrjNCpAEKC0FBQUJ3OUxKeGFnEgtBQUFCdUliUTNnZxoUCgl0ZXh0L2h0bWwSB0FncmVnYXIiFQoKdGV4dC9wbGFpbhIHQWdyZWdhciobIhUxMDI3MTkxMDk0MTcxMDcwMzY4NzEoADgAMNaNj4muMzjWjY+JrjNaDHUwanprbnVhbGk1d3ICIAB4AJoBBggAEAAYAKoBCRIHQWdyZWdhcrABALgBAMgBAHI/CgRBbGV4GjcKNS8vc3NsLmdzdGF0aWMuY29tL2RvY3MvY29tbW9uL2JsdWVfc2lsaG91ZXR0ZTk2LTAucG5neACIAQGaAQYIABAAGACqASMSIUFncmVnYXIgc2kgdXNvIG11Y2hhIG5vbWVuY2xhdHVyYbABALgBAcgBABjgyY76pTMg1o2Pia4zMABCCGtpeC5jbXQwItkJCgtBQUFCd3lVUzlLQRKnCQoLQUFBQnd5VVM5S0ESC0FBQUJ3eVVTOUtBGosBCgl0ZXh0L2h0bWwSfkVuIGVzdGEgc2VjY2nDs24gY29tZW50byBzb2JyZTo8YnI+LSBDYWxjdWxhciBleGNsdXNpb25lcyAocG9yIG1hcyBxdWUgaGF5YSBzdXB1ZXN0byBxdWUgbm8gaGF5KTxicj4tIEFwbGljYXIgZmFjdG9yIGRlIEFqdXN0ZSKGAQoKdGV4dC9wbGFpbhJ4RW4gZXN0YSBzZWNjacOzbiBjb21lbnRvIHNvYnJlOgotIENhbGN1bGFyIGV4Y2x1c2lvbmVzIChwb3IgbWFzIHF1ZSBoYXlhIHN1cHVlc3RvIHF1ZSBubyBoYXkpCi0gQXBsaWNhciBmYWN0b3IgZGUgQWp1c3RlKhsiFTEwMjcxOTEwOTQxNzEwNzAzNjg3MSgAOAAwzrDesa0zOLHU67GtM0KEBQoLQUFBQnd5VVM5S0USC0FBQUJ3eVVTOUtBGrMBCgl0ZXh0L2h0bWwSpQFOb3RhOiBMYSBwYXJ0ZSBkZSBhcm1hciBlbCB0cmlhbmd1bG8sIGRlYmVyw61hIGVzdGFyIGVzY3JpdGEgZW4gbGEgc2VjY2nDs24gZG9uZGUgc2UgZXhwbGljYSBlbCBtZGVsby4gRGUgZXNhIGZvcm1hLCBlbCBpbnNpZ2h0IHZhIGEgcXVlZGFyIG1hcyBjbGFybyBwYXJhIGVsIHF1ZSBsZWUitAEKCnRleHQvcGxhaW4SpQFOb3RhOiBMYSBwYXJ0ZSBkZSBhcm1hciBlbCB0cmlhbmd1bG8sIGRlYmVyw61hIGVzdGFyIGVzY3JpdGEgZW4gbGEgc2VjY2nDs24gZG9uZGUgc2UgZXhwbGljYSBlbCBtZGVsby4gRGUgZXNhIGZvcm1hLCBlbCBpbnNpZ2h0IHZhIGEgcXVlZGFyIG1hcyBjbGFybyBwYXJhIGVsIHF1ZSBsZWUqGyIVMTAyNzE5MTA5NDE3MTA3MDM2ODcxKAA4ADCx1OuxrTM4sdTrsa0zWgxpOGs3YnQycTR3bjVyAiAAeACaAQYIABAAGACqAagBEqUBTm90YTogTGEgcGFydGUgZGUgYXJtYXIgZWwgdHJpYW5ndWxvLCBkZWJlcsOtYSBlc3RhciBlc2NyaXRhIGVuIGxhIHNlY2Npw7NuIGRvbmRlIHNlIGV4cGxpY2EgZWwgbWRlbG8uIERlIGVzYSBmb3JtYSwgZWwgaW5zaWdodCB2YSBhIHF1ZWRhciBtYXMgY2xhcm8gcGFyYSBlbCBxdWUgbGVlsAEAuAEAyAEAShgKCnRleHQvcGxhaW4SCmV4Y2x1c2nDs25aDDl2Mm84aG1uc3gzOXICIAB4AJoBBggAEAAYAKoBgAESfkVuIGVzdGEgc2VjY2nDs24gY29tZW50byBzb2JyZTo8YnI+LSBDYWxjdWxhciBleGNsdXNpb25lcyAocG9yIG1hcyBxdWUgaGF5YSBzdXB1ZXN0byBxdWUgbm8gaGF5KTxicj4tIEFwbGljYXIgZmFjdG9yIGRlIEFqdXN0ZbABALgBAMgBABjOsN6xrTMgsdTrsa0zMABCEGtpeC5wemJuN3Uxc3l6bGki1BQKC0FBQUJ1SWJRM2dREqoUCgtBQUFCdUliUTNnURILQUFBQnVJYlEzZ1EaTgoJdGV4dC9odG1sEkFEZWZpbmlyIExhIGJhc2UgZGUgZGF0b3MuIFByZWd1bnRhciBwb3IgbG9zIEVFQ0MgcXVlIGNvbWVudG8gTWF0aSJPCgp0ZXh0L3BsYWluEkFEZWZpbmlyIExhIGJhc2UgZGUgZGF0b3MuIFByZWd1bnRhciBwb3IgbG9zIEVFQ0MgcXVlIGNvbWVudG8gTWF0aSo9CgRBbGV4GjUvL3NzbC5nc3RhdGljLmNvbS9kb2NzL2NvbW1vbi9ibHVlX3NpbGhvdWV0dGU5Ni0wLnBuZzCgoIf6pTM4uYSgv74zQokHCgtBQUFCczNTSHprZxILQUFBQnVJYlEzZ1EaigIKCXRleHQvaHRtbBL8AVZpIGxvIGRlIGxvcyBFRUNDIHkgZXN0YSBlbCBwcm9ibGVtYSBkZSBsYSBmZWNoYSBkZSBvY3VycmVuY2lhLiBIYWNpZW5kbyBsbyBxdWUgbWUgcmVjb21lbmTDsyBtYXRpIGVuIGxvcyBhdWRpb3MsIHF1ZWRhIDEgYcOxbyBkZSBkZXNhcnJvbGxvIHBhcmEgc3VwZXIuIFZlbyBtYXMgZmFjdGlibGUgdXNhciBsb3MgcHJpYW5ndWxvcyBkZSBsYSBzdXBlciwgbG9zIGN1YWxlcyB0dXZpZXJvbiB1bmEgbnVldmEgaW5jbHVzaW9uIDIwMjQvMjAyNSKLAgoKdGV4dC9wbGFpbhL8AVZpIGxvIGRlIGxvcyBFRUNDIHkgZXN0YSBlbCBwcm9ibGVtYSBkZSBsYSBmZWNoYSBkZSBvY3VycmVuY2lhLiBIYWNpZW5kbyBsbyBxdWUgbWUgcmVjb21lbmTDsyBtYXRpIGVuIGxvcyBhdWRpb3MsIHF1ZWRhIDEgYcOxbyBkZSBkZXNhcnJvbGxvIHBhcmEgc3VwZXIuIFZlbyBtYXMgZmFjdGlibGUgdXNhciBsb3MgcHJpYW5ndWxvcyBkZSBsYSBzdXBlciwgbG9zIGN1YWxlcyB0dXZpZXJvbiB1bmEgbnVldmEgaW5jbHVzaW9uIDIwMjQvMjAyNSobIhUxMDI3MTkxMDk0MTcxMDcwMzY4NzEoADgAMOS38emnMzjkt/HppzNaDHNmNmx5Zno0aHlsdHICIAB4AJoBBggAEAAYAKoB/wES/AFWaSBsbyBkZSBsb3MgRUVDQyB5IGVzdGEgZWwgcHJvYmxlbWEgZGUgbGEgZmVjaGEgZGUgb2N1cnJlbmNpYS4gSGFjaWVuZG8gbG8gcXVlIG1lIHJlY29tZW5kw7MgbWF0aSBlbiBsb3MgYXVkaW9zLCBxdWVkYSAxIGHDsW8gZGUgZGVzYXJyb2xsbyBwYXJhIHN1cGVyLiBWZW8gbWFzIGZhY3RpYmxlIHVzYXIgbG9zIHByaWFuZ3Vsb3MgZGUgbGEgc3VwZXIsIGxvcyBjdWFsZXMgdHV2aWVyb24gdW5hIG51ZXZhIGluY2x1c2lvbiAyMDI0LzIwMjWwAQC4AQDIAQBC6AYKC0FBQUJ3a1c3VEljEgtBQUFCdUliUTNnURr/AQoJdGV4dC9odG1sEvEBQW5hbGljZSBsYSBiYXNlIGRlIDIwMjQvMjAyNSB5IHNpbGkgdGllbmUgNSBhw7FvcyBkZSBkZXNhcnJvbGxvLiBMYSBub3JhbXRpdmEgcG9uZSB1biBmYWN0b3IgZGUgY29sYSBkZSAxLjEgcGFyYSA1IHBlcmlvZG9zIHkgMS4wNSBwYXJhIDYgcGVyaW9kb3MuIFVuYSBkaWZlcmVuY2lhIGRlIDAuMDUgcG9yIHVuIGHDsW8gZGlmaWN1bHRhIGxhIHJhem9uYWJpbGlkYWQgZGVsIGPDoWxjdWxvLiBWb3kgY29uIDIwMjMvMjAyNCKAAgoKdGV4dC9wbGFpbhLxAUFuYWxpY2UgbGEgYmFzZSBkZSAyMDI0LzIwMjUgeSBzaWxpIHRpZW5lIDUgYcOxb3MgZGUgZGVzYXJyb2xsby4gTGEgbm9yYW10aXZhIHBvbmUgdW4gZmFjdG9yIGRlIGNvbGEgZGUgMS4xIHBhcmEgNSBwZXJpb2RvcyB5IDEuMDUgcGFyYSA2IHBlcmlvZG9zLiBVbmEgZGlmZXJlbmNpYSBkZSAwLjA1IHBvciB1biBhw7FvIGRpZmljdWx0YSBsYSByYXpvbmFiaWxpZGFkIGRlbCBjw6FsY3Vsby4gVm95IGNvbiAyMDIzLzIwMjQqGyIVMTAyNzE5MTA5NDE3MTA3MDM2ODcxKAA4ADD52obnqjM498y85qszWgx5YXRyMTZ6NmFveTVyAiAAeACaAQYIABAAGACqAfQBEvEBQW5hbGljZSBsYSBiYXNlIGRlIDIwMjQvMjAyNSB5IHNpbGkgdGllbmUgNSBhw7FvcyBkZSBkZXNhcnJvbGxvLiBMYSBub3JhbXRpdmEgcG9uZSB1biBmYWN0b3IgZGUgY29sYSBkZSAxLjEgcGFyYSA1IHBlcmlvZG9zIHkgMS4wNSBwYXJhIDYgcGVyaW9kb3MuIFVuYSBkaWZlcmVuY2lhIGRlIDAuMDUgcG9yIHVuIGHDsW8gZGlmaWN1bHRhIGxhIHJhem9uYWJpbGlkYWQgZGVsIGPDoWxjdWxvLiBWb3kgY29uIDIwMjMvMjAyNLABALgBAMgBAELFAQoLQUFBQndzekdHZnMSC0FBQUJ1SWJRM2dRGh8KCXRleHQvaHRtbBISRWRpdGFkbyAxMS8yNS8yMDI1IiAKCnRleHQvcGxhaW4SEkVkaXRhZG8gMTEvMjUvMjAyNSobIhUxMDI3MTkxMDk0MTcxMDcwMzY4NzEoADgAMLvOvearMzi7zr3mqzNaDGtjMXB4d2lwM3NsOXICIAB4AJoBBggAEAAYAKoBFBISRWRpdGFkbyAxMS8yNS8yMDI1sAEAuAEAyAEAQsIBCgtBQUFCeS1PMlYyZxILQUFBQnVJYlEzZ1EaHgoJdGV4dC9odG1sEhFFZGl0YWRvIDEvMjIvMjAyNSIfCgp0ZXh0L3BsYWluEhFFZGl0YWRvIDEvMjIvMjAyNSobIhUxMDI3MTkxMDk0MTcxMDcwMzY4NzEoADgAMLmEoL++Mzi5hKC/vjNaDHR6bDM2eGp0dDlrMnICIAB4AJoBBggAEAAYAKoBExIRRWRpdGFkbyAxLzIyLzIwMjWwAQC4AQDIAQByPwoEQWxleBo3CjUvL3NzbC5nc3RhdGljLmNvbS9kb2NzL2NvbW1vbi9ibHVlX3NpbGhvdWV0dGU5Ni0wLnBuZ3gAiAEBmgEGCAAQABgAqgFDEkFEZWZpbmlyIExhIGJhc2UgZGUgZGF0b3MuIFByZWd1bnRhciBwb3IgbG9zIEVFQ0MgcXVlIGNvbWVudG8gTWF0abABALgBAcgBABigoIf6pTMguYSgv74zMABCCGtpeC5jbXQxIowECgtBQUFCd3N6R0d6QRLaAwoLQUFBQndzekdHekESC0FBQUJ3c3pHR3pBGmUKCXRleHQvaHRtbBJYRWwgR29vZ2xlIERvY3Mgbm8gdGllbmUgZWN1YWNpb25lcy4gUG9uZXJsbyBlbiBmb3RvIG8gZXNjcmliaXJsbyBhbnRlcyBkZSBwYXNhcmxvIGEgUERGLiJmCgp0ZXh0L3BsYWluElhFbCBHb29nbGUgRG9jcyBubyB0aWVuZSBlY3VhY2lvbmVzLiBQb25lcmxvIGVuIGZvdG8gbyBlc2NyaWJpcmxvIGFudGVzIGRlIHBhc2FybG8gYSBQREYuKhsiFTEwMjcxOTEwOTQxNzEwNzAzNjg3MSgAOAAwxZHB6qszOMWRweqrM0pBCgp0ZXh0L3BsYWluEjNbQXJtYSBmb3JtdWxhIEZhY3RvciBkZSBhanVzdGUgPSBGQUNQQ0V0L0ZBQ1BDRXQtbl1aDGlpaGdkYnlrc3drbnICIAB4AJoBBggAEAAYAKoBWhJYRWwgR29vZ2xlIERvY3Mgbm8gdGllbmUgZWN1YWNpb25lcy4gUG9uZXJsbyBlbiBmb3RvIG8gZXNjcmliaXJsbyBhbnRlcyBkZSBwYXNhcmxvIGEgUERGLrABALgBAMgBABjFkcHqqzMgxZHB6qszMABCEGtpeC4zYzQxZXN4MGZjZWkiwREKC0FBQUJ3a1c3VEZnEo8RCgtBQUFCd2tXN1RGZxILQUFBQndrVzdURmcajgQKCXRleHQvaHRtbBKABFJlcXVlcmlkb3M6PGJyPi0gRXhwbGljYXIgQmFzZSBkZSBEYXRvcyAtLS0tLS0tLS0tLS0tLS0tLS1IZWNobzxicj4tIEV4cGxpY2FyIFJHQUEgKENoYWlubGFkZGVyKS0tLS0tLS0tLS0tLS1IZWNobzxicj4tIEV4cGxpY2FyIENoYWlubGFkZGVyIE1hY2stLS0tLS0tLS0tLS0tLS1IZWNobzxicj4tIEV4cGxpY2FyIFBhdHJvbiBkZSBQYWdvcyAtLS0tLS0tLS0tLS0tLS0tSGVjaG88YnI+LSBFeHBsaWNhciBDaGFpbmxhZGRlciBjb21vIEJFTCAtLS0tLS0tLS0tSGVjaG88YnI+LSBFeHBsaWNhciBUb3AgZG93biB5IEJvdHRvbSBVcCAtLS0tLS0tLS0tSGVjaG88YnI+LSBFeHBsaWNhciBBai4gZGUgcmllc2dvIG5vIGZpbiAoQm9vdHN0cmFwIC0mZ3Q7IFZhciB5IFRWYXIpIC0tUG9yIGhhY2VyPGJyPi0gQmFja3Rlc3RpbmcgcHJvYmFiaWxpc3RpY28gKCAtLS0tLS0tLS0tLS0tLS1DYW5jZWxhZG88YnI+LSBCYWNrdGVzdGluZyBzdWZpY2llbmNpYSAtLS0tLS0tLS0tLS0tLS0tLS0tQ2FuY2VsYWRvIvEDCgp0ZXh0L3BsYWluEuIDUmVxdWVyaWRvczoKLSBFeHBsaWNhciBCYXNlIGRlIERhdG9zIC0tLS0tLS0tLS0tLS0tLS0tLUhlY2hvCi0gRXhwbGljYXIgUkdBQSAoQ2hhaW5sYWRkZXIpLS0tLS0tLS0tLS0tLUhlY2hvCi0gRXhwbGljYXIgQ2hhaW5sYWRkZXIgTWFjay0tLS0tLS0tLS0tLS0tLUhlY2hvCi0gRXhwbGljYXIgUGF0cm9uIGRlIFBhZ29zIC0tLS0tLS0tLS0tLS0tLS1IZWNobwotIEV4cGxpY2FyIENoYWlubGFkZGVyIGNvbW8gQkVMIC0tLS0tLS0tLS1IZWNobwotIEV4cGxpY2FyIFRvcCBkb3duIHkgQm90dG9tIFVwIC0tLS0tLS0tLS1IZWNobwotIEV4cGxpY2FyIEFqLiBkZSByaWVzZ28gbm8gZmluIChCb290c3RyYXAgLT4gVmFyIHkgVFZhcikgLS1Qb3IgaGFjZXIKLSBCYWNrdGVzdGluZyBwcm9iYWJpbGlzdGljbyAoIC0tLS0tLS0tLS0tLS0tLUNhbmNlbGFkbwotIEJhY2t0ZXN0aW5nIHN1ZmljaWVuY2lhIC0tLS0tLS0tLS0tLS0tLS0tLS1DYW5jZWxhZG8qGyIVMTAyNzE5MTA5NDE3MTA3MDM2ODcxKAA4ADCa/uPlqjM43amCurwzQvMDCgtBQUFCd3N6R0d6SRILQUFBQndrVzdURmcahQEKCXRleHQvaHRtbBJ4T3BjaW9uYWxlczo8YnI+LSBFeHBsaWNhciBHTE0gLS0tLS0tLS0tLS0tLS0tLS0tLS0tLS0tLS0tLUNoZWNrZWFyPGJyPi0gRXhwbGljYXIgUkpNTUMgLS0tLS0tLS0tLS0tLS0tLS0tLS0tLS0tLUNoZWNrZWFyIoABCgp0ZXh0L3BsYWluEnJPcGNpb25hbGVzOgotIEV4cGxpY2FyIEdMTSAtLS0tLS0tLS0tLS0tLS0tLS0tLS0tLS0tLS0tQ2hlY2tlYXIKLSBFeHBsaWNhciBSSk1NQyAtLS0tLS0tLS0tLS0tLS0tLS0tLS0tLS0tQ2hlY2tlYXIqGyIVMTAyNzE5MTA5NDE3MTA3MDM2ODcxKAA4ADD769TqqzM4++vU6qszWgxiZmc2eXk5bTg0c3hyAiAAeACaAQYIABAAGACqAXoSeE9wY2lvbmFsZXM6PGJyPi0gRXhwbGljYXIgR0xNIC0tLS0tLS0tLS0tLS0tLS0tLS0tLS0tLS0tLS1DaGVja2Vhcjxicj4tIEV4cGxpY2FyIFJKTU1DIC0tLS0tLS0tLS0tLS0tLS0tLS0tLS0tLS1DaGVja2VhcrABALgBAMgBAEogCgp0ZXh0L3BsYWluEhJNYXJjbyBNZXRvZG9sb2dpY29aDDhvOGNrdXFhOWpkbXICIAB4AJoBBggAEAAYAKoBgwQSgARSZXF1ZXJpZG9zOjxicj4tIEV4cGxpY2FyIEJhc2UgZGUgRGF0b3MgLS0tLS0tLS0tLS0tLS0tLS0tSGVjaG88YnI+LSBFeHBsaWNhciBSR0FBIChDaGFpbmxhZGRlciktLS0tLS0tLS0tLS0tSGVjaG88YnI+LSBFeHBsaWNhciBDaGFpbmxhZGRlciBNYWNrLS0tLS0tLS0tLS0tLS0tSGVjaG88YnI+LSBFeHBsaWNhciBQYXRyb24gZGUgUGFnb3MgLS0tLS0tLS0tLS0tLS0tLUhlY2hvPGJyPi0gRXhwbGljYXIgQ2hhaW5sYWRkZXIgY29tbyBCRUwgLS0tLS0tLS0tLUhlY2hvPGJyPi0gRXhwbGljYXIgVG9wIGRvd24geSBCb3R0b20gVXAgLS0tLS0tLS0tLUhlY2hvPGJyPi0gRXhwbGljYXIgQWouIGRlIHJpZXNnbyBubyBmaW4gKEJvb3RzdHJhcCAtJmd0OyBWYXIgeSBUVmFyKSAtLVBvciBoYWNlcjxicj4tIEJhY2t0ZXN0aW5nIHByb2JhYmlsaXN0aWNvICggLS0tLS0tLS0tLS0tLS0tQ2FuY2VsYWRvPGJyPi0gQmFja3Rlc3Rpbmcgc3VmaWNpZW5jaWEgLS0tLS0tLS0tLS0tLS0tLS0tLUNhbmNlbGFkb7ABALgBAMgBABia/uPlqjMg3amCurwzMABCEGtpeC5ueDBtajV0cXQxZGQi8QgKC0FBQUJ4Q2p3S3I0Er8ICgtBQUFCeENqd0tyNBILQUFBQnhDandLcjQa3AEKCXRleHQvaHRtbBLOAVZlciBzaSBoYWdvIGVsIG1vZGVsbyBkZSBWYXNpY2VrLU1lcnRvbiBwYXJhIHNhY2FyIGVsIHJpZXNnbyBkZSBjcsOpZGl0byBvIHNpbXBsZW1lbnRlIGRpZ28gcXVlIGxhIHRhc2EgZXMgMCBwYXJhIG5vIGFsdGVyYXIgZWwgcGFzaXZvIChjb21vIHNlIGhhY2UgZW4gbGEgcHLDoWN0aWNhKSB5IGRlc3B1ZXMgdmVyIGxhIHNlbnNpYmlsaWRhZCBkZSBsYSB0YXNhIt0BCgp0ZXh0L3BsYWluEs4BVmVyIHNpIGhhZ28gZWwgbW9kZWxvIGRlIFZhc2ljZWstTWVydG9uIHBhcmEgc2FjYXIgZWwgcmllc2dvIGRlIGNyw6lkaXRvIG8gc2ltcGxlbWVudGUgZGlnbyBxdWUgbGEgdGFzYSBlcyAwIHBhcmEgbm8gYWx0ZXJhciBlbCBwYXNpdm8gKGNvbW8gc2UgaGFjZSBlbiBsYSBwcsOhY3RpY2EpIHkgZGVzcHVlcyB2ZXIgbGEgc2Vuc2liaWxpZGFkIGRlIGxhIHRhc2EqGyIVMTAyNzE5MTA5NDE3MTA3MDM2ODcxKAA4ADDJvZKErzM4tp7zwbwzQpwCCgtBQUFCdV9pR0VPURILQUFBQnhDandLcjQaPAoJdGV4dC9odG1sEi9Mb3MgdGVybWluZSBoYWNpZW5kbyBtYW51YWwgKGNvZGVhZG8gZW4gUHl0aG9uKSI9Cgp0ZXh0L3BsYWluEi9Mb3MgdGVybWluZSBoYWNpZW5kbyBtYW51YWwgKGNvZGVhZG8gZW4gUHl0aG9uKSobIhUxMDI3MTkxMDk0MTcxMDcwMzY4NzEoADgAMLae88G8Mzi2nvPBvDNaDGN6cWpmN3ppOXpjaHICIAB4AJoBBggAEAAYAKoBMRIvTG9zIHRlcm1pbmUgaGFjaWVuZG8gbWFudWFsIChjb2RlYWRvIGVuIFB5dGhvbimwAQC4AQDIAQBKHwoKdGV4dC9wbGFpbhIRVGFzYSBkZSBkZXNjdWVudG9aDGgwYWkyZThpN3poM3ICIAB4AJoBBggAEAAYAKoB0QESzgFWZXIgc2kgaGFnbyBlbCBtb2RlbG8gZGUgVmFzaWNlay1NZXJ0b24gcGFyYSBzYWNhciBlbCByaWVzZ28gZGUgY3LDqWRpdG8gbyBzaW1wbGVtZW50ZSBkaWdvIHF1ZSBsYSB0YXNhIGVzIDAgcGFyYSBubyBhbHRlcmFyIGVsIHBhc2l2byAoY29tbyBzZSBoYWNlIGVuIGxhIHByw6FjdGljYSkgeSBkZXNwdWVzIHZlciBsYSBzZW5zaWJpbGlkYWQgZGUgbGEgdGFzYbABALgBAMgBABjJvZKErzMgtp7zwbwzMABCEGtpeC5kaXAzd2pwdjhjeGEiqQIKC0FBQUJ3c3pHR3pFEvcBCgtBQUFCd3N6R0d6RRILQUFBQndzekdHekUaMAoJdGV4dC9odG1sEiNDYW1iaWFyIGxvcyBub21icmVzIGRlIGxhcyBjb2x1bW5hcyIxCgp0ZXh0L3BsYWluEiNDYW1iaWFyIGxvcyBub21icmVzIGRlIGxhcyBjb2x1bW5hcyobIhUxMDI3MTkxMDk0MTcxMDcwMzY4NzEoADgAMOWUy+qrMzjllMvqqzNaC3MwY3NyODg5NGdkcgIgAHgAmgEGCAAQABgAqgElEiNDYW1iaWFyIGxvcyBub21icmVzIGRlIGxhcyBjb2x1bW5hc7ABALgBAMgBABjllMvqqzMg5ZTL6qszMABCEGtpeC5lY3E3dHl0bGc0cjQizQwKC0FBQUJ5LU8yVjMwEpsMCgtBQUFCeS1PMlYzMBILQUFBQnktTzJWMzAa8gQKCXRleHQvaHRtbBLkBDxhIGhyZWY9Imh0dHBzOi8vd3d3Lmdvb2dsZS5jb20vdXJsP3E9aHR0cHM6Ly93d3cuc3dpc3NyZS5jb20vZGFtL2pjciUyNTNBZWNmNTBlYTAtYTdhNi00ZmYwLTkxZWUtODRkZjIwZmQxZjQ3L3N3aXNzLXJlLWluc3RpdHV0ZS1leHBlcnRpc2UtcHVibGljYXRpb24tbGF0YW0tcmVnaW9uYWwtbWFya2V0LXJlcG9ydC0yMDI0LnBkZiZhbXA7c2E9RCZhbXA7c291cmNlPWRvY3MmYW1wO3VzdD0xNzcwMTYyOTk5MTgzNDEzJmFtcDt1c2c9QU92VmF3MHlXTXNQdXJQWnBPMkVkQzRSOXdLcCIgZGF0YS1yYXdocmVmPSJodHRwczovL3d3dy5zd2lzc3JlLmNvbS9kYW0vamNyJTNBZWNmNTBlYTAtYTdhNi00ZmYwLTkxZWUtODRkZjIwZmQxZjQ3L3N3aXNzLXJlLWluc3RpdHV0ZS1leHBlcnRpc2UtcHVibGljYXRpb24tbGF0YW0tcmVnaW9uYWwtbWFya2V0LXJlcG9ydC0yMDI0LnBkZiIgdGFyZ2V0PSJfYmxhbmsiPmh0dHBzOi8vd3d3LnN3aXNzcmUuY29tL2RhbS9qY3IlM0FlY2Y1MGVhMC1hN2E2LTRmZjAtOTFlZS04NGRmMjBmZDFmNDcvc3dpc3MtcmUtaW5zdGl0dXRlLWV4cGVydGlzZS1wdWJsaWNhdGlvbi1sYXRhbS1yZWdpb25hbC1tYXJrZXQtcmVwb3J0LTIwMjQucGRmPC9hPiKkAQoKdGV4dC9wbGFpbhKVAWh0dHBzOi8vd3d3LnN3aXNzcmUuY29tL2RhbS9qY3IlM0FlY2Y1MGVhMC1hN2E2LTRmZjAtOTFlZS04NGRmMjBmZDFmNDcvc3dpc3MtcmUtaW5zdGl0dXRlLWV4cGVydGlzZS1wdWJsaWNhdGlvbi1sYXRhbS1yZWdpb25hbC1tYXJrZXQtcmVwb3J0LTIwMjQucGRmKhsiFTEwMjcxOTEwOTQxNzEwNzAzNjg3MSgAOAAw9IfJwL4zOPSHycC+M0onCgp0ZXh0L3BsYWluEhlTaSBiaWVuIGVuIExhdGlub2Ftw6lyaWNhWgxrNjhya2MzM3M0NnlyAiAAeACaAQYIABAAGACqAecEEuQEPGEgaHJlZj0iaHR0cHM6Ly93d3cuZ29vZ2xlLmNvbS91cmw/cT1odHRwczovL3d3dy5zd2lzc3JlLmNvbS9kYW0vamNyJTI1M0FlY2Y1MGVhMC1hN2E2LTRmZjAtOTFlZS04NGRmMjBmZDFmNDcvc3dpc3MtcmUtaW5zdGl0dXRlLWV4cGVydGlzZS1wdWJsaWNhdGlvbi1sYXRhbS1yZWdpb25hbC1tYXJrZXQtcmVwb3J0LTIwMjQucGRmJmFtcDtzYT1EJmFtcDtzb3VyY2U9ZG9jcyZhbXA7dXN0PTE3NzAxNjI5OTkxODM0MTMmYW1wO3VzZz1BT3ZWYXcweVdNc1B1clBacE8yRWRDNFI5d0twIiBkYXRhLXJhd2hyZWY9Imh0dHBzOi8vd3d3LnN3aXNzcmUuY29tL2RhbS9qY3IlM0FlY2Y1MGVhMC1hN2E2LTRmZjAtOTFlZS04NGRmMjBmZDFmNDcvc3dpc3MtcmUtaW5zdGl0dXRlLWV4cGVydGlzZS1wdWJsaWNhdGlvbi1sYXRhbS1yZWdpb25hbC1tYXJrZXQtcmVwb3J0LTIwMjQucGRmIiB0YXJnZXQ9Il9ibGFuayI+aHR0cHM6Ly93d3cuc3dpc3NyZS5jb20vZGFtL2pjciUzQWVjZjUwZWEwLWE3YTYtNGZmMC05MWVlLTg0ZGYyMGZkMWY0Ny9zd2lzcy1yZS1pbnN0aXR1dGUtZXhwZXJ0aXNlLXB1YmxpY2F0aW9uLWxhdGFtLXJlZ2lvbmFsLW1hcmtldC1yZXBvcnQtMjAyNC5wZGY8L2E+sAEAuAEAyAEAGPSHycC+MyD0h8nAvjMwAEIQa2l4LjV5anRzYWl2MXBxbiLbBQoLQUFBQnd6WkgzMFUSqQUKC0FBQUJ3elpIMzBVEgtBQUFCd3paSDMwVRqEAQoJdGV4dC9odG1sEndBY2EgaGF5IHF1ZSBjb21lbnRhcjo8YnI+LSBTdXB1ZXN0b3M8YnI+LSBBcm1hZG8gZGUgdHJpYW5ndWxvPGJyPi0gRkRJLCBGREE8YnI+LSBGYWN0b3IgZGUgY29sYTxicj4tIFVsdGltYXRlPGJyPi0gSUJOUiJzCgp0ZXh0L3BsYWluEmVBY2EgaGF5IHF1ZSBjb21lbnRhcjoKLSBTdXB1ZXN0b3MKLSBBcm1hZG8gZGUgdHJpYW5ndWxvCi0gRkRJLCBGREEKLSBGYWN0b3IgZGUgY29sYQotIFVsdGltYXRlCi0gSUJOUiobIhUxMDI3MTkxMDk0MTcxMDcwMzY4NzEoADgAMJPwkdytMzj3282IrjNCngEKC0FBQUJ3OUxKeE9REgtBQUFCd3paSDMwVRoSCgl0ZXh0L2h0bWwSBUhlY2hvIhMKCnRleHQvcGxhaW4SBUhlY2hvKhsiFTEwMjcxOTEwOTQxNzEwNzAzNjg3MSgAOAAw99vNiK4zOPfbzYiuM1oMbndjZmx4dDNpd2YycgIgAHgAmgEGCAAQABgAqgEHEgVIZWNob7ABALgBAMgBAEojCgp0ZXh0L3BsYWluEhVNb2RlbG8gZGUgRXN0aW1hY2nDs25aDHFsN3dia2M0NGwyMHICIAB4AJoBBggAEAAYAKoBeRJ3QWNhIGhheSBxdWUgY29tZW50YXI6PGJyPi0gU3VwdWVzdG9zPGJyPi0gQXJtYWRvIGRlIHRyaWFuZ3Vsbzxicj4tIEZESSwgRkRBPGJyPi0gRmFjdG9yIGRlIGNvbGE8YnI+LSBVbHRpbWF0ZTxicj4tIElCTlKwAQC4AQDIAQAYk/CR3K0zIPfbzYiuMzAAQhBraXguaXk3a3k3Z3czM2IyIoIHCgtBQUFCd2Q3NDM5cxLQBgoLQUFBQndkNzQzOXMSC0FBQUJ3ZDc0MzlzGvIBCgl0ZXh0L2h0bWwS5AFFc3RvIHRpZW5lIHF1ZSB0ZW5lcjo8YnI+LSBRdWUgZXMgdW4gc2VndXJvLS0tLS0tLS0tLS0tLS1IZWNobzxicj4tIFF1ZSBzb24gbGFzIHJlc2VydmFzLS0tLS0tLS0tLS1IZWNobzxicj4tIFF1ZSBlcyBSQyBBdXRvcy0tLS0tLS0tLS0tLS0tLUhlY2hvPGJyPi0gUXVlIG5vcm1hIHNlIHVzYSBsb2NhbCAtLS0tLS0tLUhlY2hvPGJyPi0gUXVlIG5vcm5tYSBzZSB1c2EgYWZ1ZXJhIC0tLS0tSGVjaG8i5AEKCnRleHQvcGxhaW4S1QFFc3RvIHRpZW5lIHF1ZSB0ZW5lcjoKLSBRdWUgZXMgdW4gc2VndXJvLS0tLS0tLS0tLS0tLS1IZWNobwotIFF1ZSBzb24gbGFzIHJlc2VydmFzLS0tLS0tLS0tLS1IZWNobwotIFF1ZSBlcyBSQyBBdXRvcy0tLS0tLS0tLS0tLS0tLUhlY2hvCi0gUXVlIG5vcm1hIHNlIHVzYSBsb2NhbCAtLS0tLS0tLUhlY2hvCi0gUXVlIG5vcm5tYSBzZSB1c2EgYWZ1ZXJhIC0tLS0tSGVjaG8qGyIVMTAyNzE5MTA5NDE3MTA3MDM2ODcxKAA4ADDJzKOSqjM43a7PyKozShwKCnRleHQvcGxhaW4SDk1hcmNvIFRlw7NyaWNvWgxsenlnMHVxdml5andyAiAAeACaAQYIABAAGACqAecBEuQBRXN0byB0aWVuZSBxdWUgdGVuZXI6PGJyPi0gUXVlIGVzIHVuIHNlZ3Vyby0tLS0tLS0tLS0tLS0tSGVjaG88YnI+LSBRdWUgc29uIGxhcyByZXNlcnZhcy0tLS0tLS0tLS0tSGVjaG88YnI+LSBRdWUgZXMgUkMgQXV0b3MtLS0tLS0tLS0tLS0tLS1IZWNobzxicj4tIFF1ZSBub3JtYSBzZSB1c2EgbG9jYWwgLS0tLS0tLS1IZWNobzxicj4tIFF1ZSBub3JubWEgc2UgdXNhIGFmdWVyYSAtLS0tLUhlY2hvsAEAuAEAyAEAGMnMo5KqMyDdrs/IqjMwAEIQa2l4LnMzcWdoYWJwbDNucyLmAgoLQUFBQnd6WkgzMGsStQIKC0FBQUJ3elpIMzBrEgtBQUFCd3paSDMwaxo7Cgl0ZXh0L2h0bWwSLkFjYSB2aWVuZW46PGJyPi0gcmVkb25kZWFyIGEgMCBlbCBSU1AgbmVnYXRpdm8iOQoKdGV4dC9wbGFpbhIrQWNhIHZpZW5lbjoKLSByZWRvbmRlYXIgYSAwIGVsIFJTUCBuZWdhdGl2byobIhUxMDI3MTkxMDk0MTcxMDcwMzY4NzEoADgAMPy/lNytMzj8v5TcrTNKHQoKdGV4dC9wbGFpbhIPQWp1c3RlcyBmaW5hbGVzWgxzemFleDI4eTMwamhyAiAAeACaAQYIABAAGACqATASLkFjYSB2aWVuZW46PGJyPi0gcmVkb25kZWFyIGEgMCBlbCBSU1AgbmVnYXRpdm+wAQC4AQDIAQAY/L+U3K0zIPy/lNytMzAAQg9raXguaHMwd2pxNmZxYXci+AQKC0FBQUJ3dTBHU1dJEsYECgtBQUFCd3UwR1NXSRILQUFBQnd1MEdTV0kaOQoJdGV4dC9odG1sEixDaGVxdWVhciBjb21vIHBvbmVyIHVuYSBjaXRhIGNvbiBmb3JtYXRvIEFQQSI6Cgp0ZXh0L3BsYWluEixDaGVxdWVhciBjb21vIHBvbmVyIHVuYSBjaXRhIGNvbiBmb3JtYXRvIEFQQSobIhUxMDI3MTkxMDk0MTcxMDcwMzY4NzEoADgAMNCD5YusMzjQg+WLrDNKsAIKCnRleHQvcGxhaW4SoQJMYSBjb2JlcnR1cmEgZW4gc8OtLCBzZSBzZSBkZWZpbmUgY29tbyB1biBjb250cmF0byBkb25kZSDigJxFbCBhc2VndXJhZG9yIHNlIG9ibGlnYSBhIG1hbnRlbmVyIGluZGVtbmUgYWwgYXNlZ3VyYWRvIHBvciBjdWFudG8gZGViYSBhIHVuIHRlcmNlcm8gZW4gcmF6w7NuIGRlIGxhIHJlc3BvbnNhYmlsaWRhZCBwcmV2aXN0YSBlbiBlbCBjb250cmF0bywgYSBjb25zZWN1ZW5jaWEgZGUgdW4gaGVjaG8gYWNhZWNpZG8gZW4gZWwgcGxhem8gY29udmVuaWRvLuKAnSAoTGV5IGRlIFNlZ3Vyb3MsIEFydC4xMDkpWgwyczkxd2J5cnlvYjVyAiAAeACaAQYIABAAGACqAS4SLENoZXF1ZWFyIGNvbW8gcG9uZXIgdW5hIGNpdGEgY29uIGZvcm1hdG8gQVBBsAEAuAEAyAEAGNCD5YusMyDQg+WLrDMwAEIQa2l4Lm90dDVlODhhOGx2cCKIBAoLQUFBQnVKaWtMWEkS1gMKC0FBQUJ1SmlrTFhJEgtBQUFCdUppa0xYSRpiCgl0ZXh0L2h0bWwSVUVsIEdvb2xnZSBEb2NzIGNhbWJpw7MgbGEgZnVlbnRlLiBBbnRlcyBkZSBwYXNhciBhIFBERiwgcG9uZXIgdG9kbyBlbiBUaW1lcyBOZXcgUm9tYW4iYwoKdGV4dC9wbGFpbhJVRWwgR29vbGdlIERvY3MgY2FtYmnDsyBsYSBmdWVudGUuIEFudGVzIGRlIHBhc2FyIGEgUERGLCBwb25lciB0b2RvIGVuIFRpbWVzIE5ldyBSb21hbiobIhUxMDI3MTkxMDk0MTcxMDcwMzY4NzEoADgAMLGoyKCnMzixqMigpzNKRgoKdGV4dC9wbGFpbhI4wqAgwqAgwqAgwqAgwqAgwqAgwqAgwqAgwqAgwqAgwqAgwqAgwqAgwqAgwqAgwqAgwqAgwqAgwqBaDDR0d3Y5amYwZHc3OXICIAB4AJoBBggAEAAYAKoBVxJVRWwgR29vbGdlIERvY3MgY2FtYmnDsyBsYSBmdWVudGUuIEFudGVzIGRlIHBhc2FyIGEgUERGLCBwb25lciB0b2RvIGVuIFRpbWVzIE5ldyBSb21hbrABALgBAMgBABixqMigpzMgsajIoKczMABCEGtpeC5tbmYydHhjc2JldWkiwAMKC0FBQUJ3OC05Q29REo4DCgtBQUFCdzgtOUNvURILQUFBQnc4LTlDb1EaZAoJdGV4dC9odG1sEldFbCBsw61taXRlIGRlbCB0w6lybWlubyBkZSBhcnJpYmEgdGllbmUgcXVlIHNlciBpPTEgLSZndDsgaS1qPGJyPlNlIGVxdWl2b2PDsyBlbCBNYXBmcmUiXwoKdGV4dC9wbGFpbhJRRWwgbMOtbWl0ZSBkZWwgdMOpcm1pbm8gZGUgYXJyaWJhIHRpZW5lIHF1ZSBzZXIgaT0xIC0+IGktagpTZSBlcXVpdm9jw7MgZWwgTWFwZnJlKhsiFTEwMjcxOTEwOTQxNzEwNzAzNjg3MSgAOAAwnqbbhK4zOJ6m24SuM1oMZjhvbnI2dHE0eDg5cgIgAHgAmgEGCAAQABgAqgFZEldFbCBsw61taXRlIGRlbCB0w6lybWlubyBkZSBhcnJpYmEgdGllbmUgcXVlIHNlciBpPTEgLSZndDsgaS1qPGJyPlNlIGVxdWl2b2PDsyBlbCBNYXBmcmWwAQC4AQDIAQAYnqbbhK4zIJ6m24SuMzAAQhBraXguazNuaHlqdWhvaHdoIswECgtBQUFCdV9pR0VPaxKaBAoLQUFBQnVfaUdFT2sSC0FBQUJ1X2lHRU9rGoYBCgl0ZXh0L2h0bWwSeUxhIG5vcm1hIGhhYmxhIGRlIHF1ZSBsYXMgY29zYXMgcXVlIHJlcXVpZXJlbiB1biAmcXVvdDtlc2Z1ZXJ6byBkZXNwcm9wb3JjaW9uYWRvJnF1b3Q7IHkgc29uIG9wY2lvbmFsZXMsIHNlIHB1ZWRlbiBvdmJpYXIifQoKdGV4dC9wbGFpbhJvTGEgbm9ybWEgaGFibGEgZGUgcXVlIGxhcyBjb3NhcyBxdWUgcmVxdWllcmVuIHVuICJlc2Z1ZXJ6byBkZXNwcm9wb3JjaW9uYWRvIiB5IHNvbiBvcGNpb25hbGVzLCBzZSBwdWVkZW4gb3ZiaWFyKhsiFTEwMjcxOTEwOTQxNzEwNzAzNjg3MSgAOAAwxL2MwrwzOMS9jMK8M0onCgp0ZXh0L3BsYWluEhllc2Z1ZXJ6byBkZXNwcm9wb3JjaW9uYWRvWgx1M3Q3bWJsb3R5MGpyAiAAeACaAQYIABAAGACqAXsSeUxhIG5vcm1hIGhhYmxhIGRlIHF1ZSBsYXMgY29zYXMgcXVlIHJlcXVpZXJlbiB1biAmcXVvdDtlc2Z1ZXJ6byBkZXNwcm9wb3JjaW9uYWRvJnF1b3Q7IHkgc29uIG9wY2lvbmFsZXMsIHNlIHB1ZWRlbiBvdmJpYXKwAQC4AQDIAQAYxL2MwrwzIMS9jMK8MzAAQhBraXguY2I0MmIwODcxeDM4ItgCCgtBQUFCd2xPczNScxKmAgoLQUFBQndsT3MzUnMSC0FBQUJ3bE9zM1JzGjQKCXRleHQvaHRtbBInQWdyZWdhciBJbWFnZW4gZGUgZXN0YWRvcyBkZWwgc2luaWVzdHJvIjUKCnRleHQvcGxhaW4SJ0FncmVnYXIgSW1hZ2VuIGRlIGVzdGFkb3MgZGVsIHNpbmllc3RybyobIhUxMDI3MTkxMDk0MTcxMDcwMzY4NzEoADgAMLqR2MiqMzi6kdjIqjNKIAoKdGV4dC9wbGFpbhISUmVzZXJ2YXMgdMOpY25pY2FzWgxhNTdnZ2ZjbWszbzhyAiAAeACaAQYIABAAGACqASkSJ0FncmVnYXIgSW1hZ2VuIGRlIGVzdGFkb3MgZGVsIHNpbmllc3Ryb7ABALgBAMgBABi6kdjIqjMgupHYyKozMABCEGtpeC5uNmFsamtod29sb2kirAIKC0FBQUJ3OUxKeE5VEvoBCgtBQUFCdzlMSnhOVRILQUFBQnc5TEp4TlUaHQoJdGV4dC9odG1sEhBBZ3JlZ2FyIGbDs3JtaWxhIh4KCnRleHQvcGxhaW4SEEFncmVnYXIgZsOzcm1pbGEqGyIVMTAyNzE5MTA5NDE3MTA3MDM2ODcxKAA4ADC81KSIrjM4vNSkiK4zSjkKCnRleHQvcGxhaW4SK1tFc2NyaWJpciBsYSBmw7NybXVsYSBjb21vIEZfaiA9IHByb2QoZl9qKV1aDHAwZmJrZmdqamR3MHICIAB4AJoBBggAEAAYAKoBEhIQQWdyZWdhciBmw7NybWlsYbABALgBAMgBABi81KSIrjMgvNSkiK4zMABCEGtpeC5pMXRlcndwaTBxMTMyDmguazcwaDRmc3VramF1Mg5oLndyYzlwZGpuOHlvczIOaC55ZnJwaDlicmZuaXMyDmgubHIwYmxzOHU1N2Z6Mg5oLmFuN3JoYjNlYThuZDIOaC4xY2gwbTdoenh6ZHQyDmguNTRzd2NrMzM5enJlMg5oLmVrZXFzc25nbTZvbDIOaC5zeXd4eGhlbW9lZDAyDmgueHpvMjgzYXZiZnY0Mg5oLnV3bzYyY3MyOGsyZDIOaC5nZ3d0cHdtMHpxYmoyDmguODI5ZGV4Z3ZlN2o3Mg5oLnRqeG1wc242ODZ4bzIOaC5iaDZmMzJhZHpoM2cyDmguYWw2OXlrczRqdzNqMg5oLm9sNm1mdmJqaXJucjIOaC5nZ2lwaWMzcmFhYXkyDmguODNpZ2c1azRyMW81Mg5oLms2cHVtODN0bjBqaDIOaC50dXg3Yml4NjRyMnQyDWguMjl4M3k3NnYwOWIyDmgud2oycXkxd3k2ajYyMg1oLmtwY3Q5bTdnaTA5Mg5oLjExZDZuazIwMXZtMDIOaC50cDBkcWlhdWo4dGMyDmgucTlzbnBka21pZDYzMg5oLmZwcnFjd2l4NWswazIOaC5hejRhZTg0ZXdoOTgyDmguMTRtcndqYThzeDExMg5oLmZ2anY5OWo2NDR5czIOaC5tYTR6Y25pdGhyOTMyDmgubXV3ZDN1MXZ4MDNlMg5oLjdxYWlsY2RrOWVvbDIOaC45eXVoZGN2c2FkdnkyDmguYnR4cDBzZGxvazMyMg5oLjk2emcxc2k5Y3psYjIOaC5pNTIwM3VnM2x4cm0yDmguZmtvcWJxeHpqeDZyMg5oLmtxZTJ1MDFkZHRjMjIOaC5jbnowbGM5YjM4dDU4AHIhMUhnTWtEczd0Z3dWdE1UXzJMWEdzb1FvelNEQzktRml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SSN1</b:Tag>
    <b:SourceType>Misc</b:SourceType>
    <b:Guid>{051818EE-270F-45FB-80AE-7B4D649FCB30}</b:Guid>
    <b:Title>RESOL-2025-387-APN-SSN#MEC</b:Title>
    <b:Year>2025</b:Year>
    <b:Author>
      <b:Author>
        <b:Corporate>Superintendencia de Seguros de la Nación</b:Corporate>
      </b:Author>
    </b:Author>
    <b:Publisher>Superintendencia de Seguros de la Nación</b:Publisher>
    <b:LCID>es-AR</b:LCID>
    <b:RefOrder>1</b:RefOrder>
  </b:Source>
  <b:Source>
    <b:Tag>LeySeg</b:Tag>
    <b:SourceType>Book</b:SourceType>
    <b:Guid>{7474AA77-37DD-4E25-9AA7-B8836A9DC536}</b:Guid>
    <b:Author>
      <b:Author>
        <b:Corporate>Superintencencia de Seguros de la Nación</b:Corporate>
      </b:Author>
    </b:Author>
    <b:Title>Ley N° 17418</b:Title>
    <b:Year>1967</b:Year>
    <b:URL>https://servicios.infoleg.gob.ar/infolegInternet/anexos/35000-39999/39520/norma.htm</b:URL>
    <b:LCID>es-AR</b:LCID>
    <b:RefOrder>11</b:RefOrder>
  </b:Source>
  <b:Source>
    <b:Tag>IFRS17</b:Tag>
    <b:SourceType>Book</b:SourceType>
    <b:Guid>{57EC5C72-B75B-4AA9-A137-A6255E6B2684}</b:Guid>
    <b:Author>
      <b:Author>
        <b:Corporate>International Accounting Standards Board</b:Corporate>
      </b:Author>
    </b:Author>
    <b:Title>International Financial Reporting Standards: 17</b:Title>
    <b:Year>2017</b:Year>
    <b:LCID>es-AR</b:LCID>
    <b:RefOrder>3</b:RefOrder>
  </b:Source>
  <b:Source>
    <b:Tag>RGAA</b:Tag>
    <b:SourceType>Book</b:SourceType>
    <b:Guid>{2A961826-8222-44B6-B977-4A2FB1D0DE5C}</b:Guid>
    <b:Title>Reglamento General de la Actividad Aseguradora</b:Title>
    <b:Year>2014</b:Year>
    <b:Author>
      <b:Author>
        <b:Corporate>Superintendencia de Seguros de la Nación</b:Corporate>
      </b:Author>
    </b:Author>
    <b:LCID>es-AR</b:LCID>
    <b:RefOrder>2</b:RefOrder>
  </b:Source>
  <b:Source>
    <b:Tag>SSN2</b:Tag>
    <b:SourceType>Book</b:SourceType>
    <b:Guid>{1F069172-5FD8-4AD9-A9AC-6B6815B6E86E}</b:Guid>
    <b:Author>
      <b:Author>
        <b:Corporate>Superintencencia de Seguros de la Nación</b:Corporate>
      </b:Author>
    </b:Author>
    <b:Title>RESOL-2023-353-APN-SSN#ME</b:Title>
    <b:Year>2023</b:Year>
    <b:LCID>es-AR</b:LCID>
    <b:RefOrder>4</b:RefOrder>
  </b:Source>
  <b:Source>
    <b:Tag>FACPCE</b:Tag>
    <b:SourceType>JournalArticle</b:SourceType>
    <b:Guid>{CFC0C4CE-9F23-469C-A21B-A68BD2DBAD8A}</b:Guid>
    <b:Year>2018</b:Year>
    <b:Author>
      <b:Author>
        <b:Corporate>Federación Argentina de Consejos Profesionales de Ciencias Económicas</b:Corporate>
      </b:Author>
    </b:Author>
    <b:Title>Resolución de Junta de Gobierno N° 539/18. Normas para que los estados contables se expresen en moneda del poder adquisitivo de cierre en un contexto de inflación</b:Title>
    <b:URL>https://www.facpce.org.ar/pdf/RESJG539-18.pdf</b:URL>
    <b:LCID>es-AR</b:LCID>
    <b:RefOrder>6</b:RefOrder>
  </b:Source>
  <b:Source>
    <b:Tag>Transito</b:Tag>
    <b:SourceType>Book</b:SourceType>
    <b:Guid>{6F57A290-E9E2-44B8-88EB-BEEEB8A1BBF7}</b:Guid>
    <b:LCID>es-AR</b:LCID>
    <b:Author>
      <b:Author>
        <b:Corporate> Senado y la Cámara de Diputados de la Nación Argentina</b:Corporate>
      </b:Author>
    </b:Author>
    <b:Title> Ley N° 24.449</b:Title>
    <b:Year>1994</b:Year>
    <b:RefOrder>12</b:RefOrder>
  </b:Source>
  <b:Source>
    <b:Tag>IFRS4</b:Tag>
    <b:SourceType>Book</b:SourceType>
    <b:Guid>{E0F68C4F-C91A-4DF4-9B9D-F0E31FBC0642}</b:Guid>
    <b:LCID>es-AR</b:LCID>
    <b:Author>
      <b:Author>
        <b:Corporate>International Accounting Standards Board</b:Corporate>
      </b:Author>
    </b:Author>
    <b:Title>International Financial Reporting Standards 4</b:Title>
    <b:Year>2004</b:Year>
    <b:RefOrder>5</b:RefOrder>
  </b:Source>
  <b:Source>
    <b:Tag>RIC99</b:Tag>
    <b:SourceType>Book</b:SourceType>
    <b:Guid>{FE99F047-3593-41CB-AB34-D07FCE41E82C}</b:Guid>
    <b:Title>EXTRAPOLATING, SMOOTHlNG, AND INTERPOLATING DEVELOPMENT FACTORS</b:Title>
    <b:Year>1999</b:Year>
    <b:LCID>es-AR</b:LCID>
    <b:Author>
      <b:Author>
        <b:NameList>
          <b:Person>
            <b:Last>SHERMAN</b:Last>
            <b:First>RICHARD</b:First>
            <b:Middle>E.</b:Middle>
          </b:Person>
        </b:NameList>
      </b:Author>
    </b:Author>
    <b:URL>https://www.casact.org/sites/default/files/database/proceed_proceed84_84122.pdf</b:URL>
    <b:RefOrder>7</b:RefOrder>
  </b:Source>
  <b:Source>
    <b:Tag>JPM05</b:Tag>
    <b:SourceType>Book</b:SourceType>
    <b:Guid>{D0A83C6A-4529-4FD4-88A7-46336B048FE7}</b:Guid>
    <b:LCID>es-AR</b:LCID>
    <b:Author>
      <b:Author>
        <b:Corporate>JP Morgan</b:Corporate>
      </b:Author>
    </b:Author>
    <b:Title>Credit Derivatives: A Primer. JP Morgan Credit Derivatives and Quantitative Research</b:Title>
    <b:Year>2005</b:Year>
    <b:RefOrder>8</b:RefOrder>
  </b:Source>
  <b:Source>
    <b:Tag>Cha87</b:Tag>
    <b:SourceType>JournalArticle</b:SourceType>
    <b:Guid>{1CA46523-8037-4DDC-BC6D-9DA5428F89A5}</b:Guid>
    <b:Author>
      <b:Author>
        <b:NameList>
          <b:Person>
            <b:Last>Nelson</b:Last>
            <b:First>Charles</b:First>
            <b:Middle>R.</b:Middle>
          </b:Person>
          <b:Person>
            <b:Last>Siegel</b:Last>
            <b:First>Andrew</b:First>
            <b:Middle>F.</b:Middle>
          </b:Person>
        </b:NameList>
      </b:Author>
    </b:Author>
    <b:Title>Parsimonious modeling of yield curves.</b:Title>
    <b:Year>1987</b:Year>
    <b:JournalName>The Journal of Business</b:JournalName>
    <b:Pages> 473-489</b:Pages>
    <b:LCID>es-AR</b:LCID>
    <b:Volume>60</b:Volume>
    <b:Issue>4</b:Issue>
    <b:URL>https://doi.org/10.1086/296409</b:URL>
    <b:DOI>10.1086/296409</b:DOI>
    <b:RefOrder>9</b:RefOrder>
  </b:Source>
  <b:Source>
    <b:Tag>Ver02</b:Tag>
    <b:SourceType>JournalArticle</b:SourceType>
    <b:Guid>{6B1AF561-08FB-4B7F-A5E7-CF34CEC12384}</b:Guid>
    <b:Title>Stochastic Claims Reserving in General Insurance</b:Title>
    <b:JournalName>British Actuarial Journal</b:JournalName>
    <b:Year>2002</b:Year>
    <b:LCID>es-AR</b:LCID>
    <b:Author>
      <b:Author>
        <b:NameList>
          <b:Person>
            <b:Last>Verrall</b:Last>
            <b:First>P.</b:First>
            <b:Middle>D. England and R. J.</b:Middle>
          </b:Person>
        </b:NameList>
      </b:Author>
    </b:Author>
    <b:URL>https://www.researchgate.net/publication/228480205_Stochastic_Claims_Reserving_in_General_Insurance</b:URL>
    <b:DOI>10.1017/S1357321700003809</b:DOI>
    <b:RefOrder>10</b:RefOrder>
  </b:Source>
  <b:Source>
    <b:Tag>Swi24</b:Tag>
    <b:SourceType>Report</b:SourceType>
    <b:Guid>{CA6E202D-84A3-4895-BF97-4D7E2EC05E87}</b:Guid>
    <b:Title>Latin America market report 2024: Growth to decelerate as global risks rise</b:Title>
    <b:Year>2024</b:Year>
    <b:LCID>es-AR</b:LCID>
    <b:Author>
      <b:Author>
        <b:Corporate>Swiss Re Institute</b:Corporate>
      </b:Author>
    </b:Author>
    <b:Publisher>Swiss Re Institute</b:Publisher>
    <b:URL>https://www.swissre.com/dam/jcr%3Aecf50ea0-a7a6-4ff0-91ee-84df20fd1f47/swiss-re-institute-expertise-publication-latam-regional-market-report-2024.pdf</b:URL>
    <b:Pages>5-12</b:Pages>
    <b:RefOrder>13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005CE9-B47A-4DAA-8530-5B02F86A9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49</Pages>
  <Words>11494</Words>
  <Characters>63221</Characters>
  <Application>Microsoft Office Word</Application>
  <DocSecurity>0</DocSecurity>
  <Lines>526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dc:creator>
  <cp:lastModifiedBy>Alex</cp:lastModifiedBy>
  <cp:revision>9</cp:revision>
  <dcterms:created xsi:type="dcterms:W3CDTF">2025-10-29T18:55:00Z</dcterms:created>
  <dcterms:modified xsi:type="dcterms:W3CDTF">2026-02-09T04:23:00Z</dcterms:modified>
</cp:coreProperties>
</file>