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</w:pPr>
      <w:r>
        <w:rPr>
          <w:sz w:val="40"/>
        </w:rPr>
        <w:t>Informe Fase 0 — Auditoría y brecha</w:t>
      </w:r>
    </w:p>
    <w:p>
      <w:pPr>
        <w:spacing w:after="160"/>
      </w:pPr>
      <w:r>
        <w:rPr>
          <w:b/>
          <w:sz w:val="24"/>
        </w:rPr>
        <w:t>Restaurant OS vs PRD Master V1.0 — Plataforma Gastronómica SaaS para Perú</w:t>
      </w:r>
    </w:p>
    <w:p>
      <w:pPr>
        <w:spacing w:after="0"/>
      </w:pPr>
      <w:r>
        <w:rPr>
          <w:color w:val="333333"/>
          <w:sz w:val="19"/>
        </w:rPr>
        <w:t>Fecha: 25 de agosto de 2026 · America/Lima</w:t>
      </w:r>
    </w:p>
    <w:p>
      <w:pPr>
        <w:spacing w:after="0"/>
      </w:pPr>
      <w:r>
        <w:rPr>
          <w:color w:val="333333"/>
          <w:sz w:val="19"/>
        </w:rPr>
        <w:t>PRD: v1.0 · 62 secciones · 3 378 líneas · SHA-256 ba5a7ce5…8f613</w:t>
      </w:r>
    </w:p>
    <w:p>
      <w:pPr>
        <w:spacing w:after="0"/>
      </w:pPr>
      <w:r>
        <w:rPr>
          <w:color w:val="333333"/>
          <w:sz w:val="19"/>
        </w:rPr>
        <w:t>Repo: restaurant-os/ · Node.js 24, node:sqlite, cero dependencias · Suite: 23 tests · 23 PASS · 0 FAIL</w:t>
      </w:r>
    </w:p>
    <w:p>
      <w:pPr>
        <w:spacing w:after="200"/>
      </w:pPr>
      <w:r>
        <w:rPr>
          <w:color w:val="333333"/>
          <w:sz w:val="19"/>
        </w:rPr>
        <w:t>Método: auditoría (backend, frontend, pruebas) → gap analysis §33-36 → refactor selectivo → migración progresiva · sin reescritura</w:t>
      </w:r>
    </w:p>
    <w:p>
      <w:pPr>
        <w:pStyle w:val="Heading1"/>
      </w:pPr>
      <w:r>
        <w:t>1. Resumen ejecutivo</w:t>
      </w:r>
    </w:p>
    <w:p>
      <w:r>
        <w:t>Se ejecutó la Fase 0 del PRD Master V1.0 sobre la entrega Restaurant OS: tres auditorías en paralelo, mapeo completo de la matriz de capacidades (§33), verificación independiente con sandbox aislado y smoke en vivo, y corrección de los hallazgos P0/seguridad. Resultado: la base entregada es sólida y no amerita reescritura (0 ítems REPLACE). De 85 capacidades evaluadas: 17 completas, 50 parciales y 18 inexistentes; 27 requieren prioridad P0 para el piloto, pero los defectos de seguridad críticos ya fueron corregidos y cubiertos por pruebas de regresión.</w:t>
      </w:r>
    </w:p>
    <w:p>
      <w:r>
        <w:t>APTO para continuar a la Fase 1 del roadmap, con dos condicionantes: (a) definir RPO/RTO y poda de respaldos; (b) declarar explícitamente en la trazabilidad la exclusión o el hito de los E2E-004 (mesa→cuenta→pago) y E2E-006 (boleta/factura).</w:t>
      </w:r>
    </w:p>
    <w:p>
      <w:pPr>
        <w:spacing w:after="160"/>
      </w:pPr>
      <w:r>
        <w:rPr>
          <w:b/>
        </w:rPr>
        <w:t>Veredicto: APTO para la Fase 1.</w:t>
      </w:r>
    </w:p>
    <w:p>
      <w:pPr>
        <w:pStyle w:val="Heading1"/>
      </w:pPr>
      <w:r>
        <w:t>2. Metodología y evidencia</w:t>
      </w:r>
    </w:p>
    <w:p>
      <w:pPr>
        <w:pStyle w:val="ListBullet"/>
        <w:spacing w:after="40"/>
      </w:pPr>
      <w:r>
        <w:rPr>
          <w:b/>
        </w:rPr>
        <w:t>Ronda 1 — tres auditores en paralelo:</w:t>
      </w:r>
      <w:r>
        <w:t xml:space="preserve"> Backend y modelo de datos; frontend y UI; pruebas y gobernanza. Cada uno produjo informe con evidencia archivo:línea.</w:t>
      </w:r>
    </w:p>
    <w:p>
      <w:pPr>
        <w:pStyle w:val="ListBullet"/>
        <w:spacing w:after="40"/>
      </w:pPr>
      <w:r>
        <w:rPr>
          <w:b/>
        </w:rPr>
        <w:t>Ronda 2 — mapeador de la matriz:</w:t>
      </w:r>
      <w:r>
        <w:t xml:space="preserve"> 85 filas Funcionalidad × Estado × Qué falta × Refactor × Prioridad, con roadmap de 5 fases.</w:t>
      </w:r>
    </w:p>
    <w:p>
      <w:pPr>
        <w:pStyle w:val="ListBullet"/>
        <w:spacing w:after="40"/>
      </w:pPr>
      <w:r>
        <w:rPr>
          <w:b/>
        </w:rPr>
        <w:t>Sandbox aislado:</w:t>
      </w:r>
      <w:r>
        <w:t xml:space="preserve"> Copia limpia sin datos reales ni git, puerto 3199, base sandbox.db; seed y suite en 0 dependencias; smoke HTTP en vivo (healthz, login, RBAC 403, menú público cross-tenant, auditoría).</w:t>
      </w:r>
    </w:p>
    <w:p>
      <w:pPr>
        <w:pStyle w:val="ListBullet"/>
        <w:spacing w:after="40"/>
      </w:pPr>
      <w:r>
        <w:rPr>
          <w:b/>
        </w:rPr>
        <w:t>Verificación independiente:</w:t>
      </w:r>
      <w:r>
        <w:t xml:space="preserve"> Cada hallazgo P0 fue confirmado en código por el orquestador antes de corregir; cada corrección quedó cubierta por una regresión nueva (suite de 21 a 23 tests).</w:t>
      </w:r>
    </w:p>
    <w:p>
      <w:pPr>
        <w:pStyle w:val="Heading1"/>
      </w:pPr>
      <w:r>
        <w:t>3. Hallazgos de seguridad corregidos (P0)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60"/>
            <w:shd w:val="clear" w:fill="F0F0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744"/>
            <w:shd w:val="clear" w:fill="F0F0F0"/>
          </w:tcPr>
          <w:p>
            <w:r/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864"/>
            <w:shd w:val="clear" w:fill="F0F0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3168"/>
            <w:shd w:val="clear" w:fill="F0F0F0"/>
          </w:tcPr>
          <w:p>
            <w:r/>
            <w:r>
              <w:rPr>
                <w:b/>
                <w:sz w:val="18"/>
              </w:rPr>
              <w:t>Corrección</w:t>
            </w:r>
          </w:p>
        </w:tc>
        <w:tc>
          <w:tcPr>
            <w:tcW w:type="dxa" w:w="2160"/>
            <w:shd w:val="clear" w:fill="F0F0F0"/>
          </w:tcPr>
          <w:p>
            <w:r/>
            <w:r>
              <w:rPr>
                <w:b/>
                <w:sz w:val="18"/>
              </w:rPr>
              <w:t>Regresión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Backdoor skipEntitlement en el pago: un cliente anónimo podía eludir el entitlement de pagos en línea (routes-public.js:65)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Flag eliminado; gate estricto por feature + única excepción del venue seed de demo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403 PAYMENTS_DISABLED aunque se envíe el flag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Fuga cross-tenant en GET /me/orders: filtraba por email/teléfono sin acotar venue_id (§10/§42)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WHERE o.venue_id = ? AND (c.email = ? OR c.normalized_phone = ?)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Sin fuga + el dueño sí ve sus pedidos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events/batch aceptaba venue_id arbitrario del cliente; el storefront ni siquiera enviaba identificador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venue_slug resuelto en servidor, tope 200 eventos/lote, validaciones de longitud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Funnel trazable (slug + sesión persistente)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Bug crítico de producción: INSERT de users en el registro con parámetros desalineados → todo autoregistro fallaba con 500 (E2E-001)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Valores alineados (?,?,?,?,?, 'owner')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Registro verificado por HTTP: 201 + sesión + trial Pro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me/orders consultaba columna inexistente o.order_number → endpoint roto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o.id AS order_number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 /me/orders responde 200</w:t>
            </w:r>
          </w:p>
        </w:tc>
      </w:tr>
    </w:tbl>
    <w:p>
      <w:pPr>
        <w:pStyle w:val="Heading1"/>
      </w:pPr>
      <w:r>
        <w:t>4. Matriz de capacidades §33 — resumen</w:t>
      </w:r>
    </w:p>
    <w:p>
      <w:pPr>
        <w:pStyle w:val="Heading2"/>
      </w:pPr>
      <w:r>
        <w:t>Por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608"/>
            <w:shd w:val="clear" w:fill="F0F0F0"/>
          </w:tcPr>
          <w:p>
            <w:r/>
            <w:r>
              <w:rPr>
                <w:b/>
                <w:sz w:val="18"/>
              </w:rPr>
              <w:t>Sección</w:t>
            </w:r>
          </w:p>
        </w:tc>
        <w:tc>
          <w:tcPr>
            <w:tcW w:type="dxa" w:w="1440"/>
            <w:shd w:val="clear" w:fill="F0F0F0"/>
          </w:tcPr>
          <w:p>
            <w:r/>
            <w:r>
              <w:rPr>
                <w:b/>
                <w:sz w:val="18"/>
              </w:rPr>
              <w:t>COMPLETO</w:t>
            </w:r>
          </w:p>
        </w:tc>
        <w:tc>
          <w:tcPr>
            <w:tcW w:type="dxa" w:w="1440"/>
            <w:shd w:val="clear" w:fill="F0F0F0"/>
          </w:tcPr>
          <w:p>
            <w:r/>
            <w:r>
              <w:rPr>
                <w:b/>
                <w:sz w:val="18"/>
              </w:rPr>
              <w:t>PARCIAL</w:t>
            </w:r>
          </w:p>
        </w:tc>
        <w:tc>
          <w:tcPr>
            <w:tcW w:type="dxa" w:w="1440"/>
            <w:shd w:val="clear" w:fill="F0F0F0"/>
          </w:tcPr>
          <w:p>
            <w:r/>
            <w:r>
              <w:rPr>
                <w:b/>
                <w:sz w:val="18"/>
              </w:rPr>
              <w:t>NO EXISTE</w:t>
            </w:r>
          </w:p>
        </w:tc>
        <w:tc>
          <w:tcPr>
            <w:tcW w:type="dxa" w:w="1152"/>
            <w:shd w:val="clear" w:fill="F0F0F0"/>
          </w:tcPr>
          <w:p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A. Modelo + entidades (§9/§10)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B. Módulos backend M01-M54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C. UI (§7-8, §20-23)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D. Transversal (§10, §15-16, §40-43, §51-54, §56)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 (20 %)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50 (59 %)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 (21 %)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85</w:t>
            </w:r>
          </w:p>
        </w:tc>
      </w:tr>
    </w:tbl>
    <w:p>
      <w:r>
        <w:rPr>
          <w:color w:val="333333"/>
          <w:sz w:val="18"/>
        </w:rPr>
        <w:t>De los 50 PARCIAL, la mayoría es IMPROVE sobre base sólida; solo 5 requieren REFACTOR (M01, M15, M23, M45/M46), todos con núcleo aprovechable. Jerarquía §33: KEEP &gt; IMPROVE &gt; REFACTOR &gt; REPLACE.</w:t>
      </w:r>
    </w:p>
    <w:p>
      <w:pPr>
        <w:pStyle w:val="Heading2"/>
      </w:pPr>
      <w:r>
        <w:t>Por prioridad (§47)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F0F0F0"/>
          </w:tcPr>
          <w:p>
            <w:r/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720"/>
            <w:shd w:val="clear" w:fill="F0F0F0"/>
          </w:tcPr>
          <w:p>
            <w:r/>
            <w:r>
              <w:rPr>
                <w:b/>
                <w:sz w:val="18"/>
              </w:rPr>
              <w:t>Filas</w:t>
            </w:r>
          </w:p>
        </w:tc>
        <w:tc>
          <w:tcPr>
            <w:tcW w:type="dxa" w:w="6912"/>
            <w:shd w:val="clear" w:fill="F0F0F0"/>
          </w:tcPr>
          <w:p>
            <w: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P0 — crítico piloto / seguridad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Autenticación, QR, checkout modalidad mesa, eje de producción, KDS con SLA, pagos/pasarela, caja, multitenant, seguridad web, webhooks, pruebas (E2E/aislamiento/idempotencia)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P1 — core operación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Onboarding, importación de carta, modificadores, mesas/cuentas, WhatsApp, impresión, delivery, Yape/Plin, cupones, CRM, reservas, inventario, analítica, suscripciones, auditoría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P2 — crecimiento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Personalización, pagos mixtos, promociones avanzadas, fidelización, notificaciones multicanal, fiscal (Perú Pro), recetas/mermas/compras, soporte/libro de reclamaciones, privacidad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P3 — pulido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Responsive fino, accesibilidad, timezone de presentación, soft delete completo, estética</w:t>
            </w:r>
          </w:p>
        </w:tc>
      </w:tr>
    </w:tbl>
    <w:p>
      <w:pPr>
        <w:pStyle w:val="Heading1"/>
      </w:pPr>
      <w:r>
        <w:t>5. Brechas estructurales top (de producto, no defectos)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F0F0F0"/>
          </w:tcPr>
          <w:p>
            <w:r/>
            <w:r>
              <w:rPr>
                <w:b/>
                <w:sz w:val="18"/>
              </w:rPr>
              <w:t>Capacidad</w:t>
            </w:r>
          </w:p>
        </w:tc>
        <w:tc>
          <w:tcPr>
            <w:tcW w:type="dxa" w:w="1296"/>
            <w:shd w:val="clear" w:fill="F0F0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6048"/>
            <w:shd w:val="clear" w:fill="F0F0F0"/>
          </w:tcPr>
          <w:p>
            <w:r/>
            <w:r>
              <w:rPr>
                <w:b/>
                <w:sz w:val="18"/>
              </w:rPr>
              <w:t>Hallazgo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M09 — QR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8A5A00"/>
                <w:sz w:val="18"/>
              </w:rPr>
              <w:t>PARCIAL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Solo token de reseña (/r/:token → 302); sin generación de QR de menú/sucursal/mesa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M10/M11 — Mesas y cuentas abiertas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AA0000"/>
                <w:sz w:val="18"/>
              </w:rPr>
              <w:t>NO EXISTE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Sin dining_areas/tables; el checkout solo soporta pickup/delivery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M26 — Caja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AA0000"/>
                <w:sz w:val="18"/>
              </w:rPr>
              <w:t>NO EXISTE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Sin apertura/cierre ni arqueo; el rol cajero no tiene pantalla propia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M23/M25 — Pagos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8A5A00"/>
                <w:sz w:val="18"/>
              </w:rPr>
              <w:t>PARCIAL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Interfaz desacoplada y gate cerrado (validado), pero solo tarjeta mock: sin efectivo/Yape/Plin ni pasarela real con webhook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M15/M18 — Producción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8A5A00"/>
                <w:sz w:val="18"/>
              </w:rPr>
              <w:t>PARCIAL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KDS operable (polling, sonido, rol kitchen) sin estaciones ni SLA/atrasados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M20 — Impresión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AA0000"/>
                <w:sz w:val="18"/>
              </w:rPr>
              <w:t>NO EXISTE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Sin comanda ni comprobante imprimibles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M45-M47 — Multi-sucursal y permisos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8A5A00"/>
                <w:sz w:val="18"/>
              </w:rPr>
              <w:t>PARCIAL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RBAC hardcoded funcional y testeado; sin membresías ni multi-negocio real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§16 — Webhooks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AA0000"/>
                <w:sz w:val="18"/>
              </w:rPr>
              <w:t>NO EXISTE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Cero endpoints entrantes; E2E-005 queda parcial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M39 — Inventario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8A5A00"/>
                <w:sz w:val="18"/>
              </w:rPr>
              <w:t>PARCIAL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Movimientos con anti-negativo, pero el pedido no descuenta inventario (order_consume nunca se inserta)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§8 — Home (10 widgets)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8A5A00"/>
                <w:sz w:val="18"/>
              </w:rPr>
              <w:t>PARCIAL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3 de 10 widgets implementados</w:t>
            </w:r>
          </w:p>
        </w:tc>
      </w:tr>
    </w:tbl>
    <w:p>
      <w:pPr>
        <w:pStyle w:val="Heading1"/>
      </w:pPr>
      <w:r>
        <w:t>6. Criterios de éxito del MVP (§56)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  <w:shd w:val="clear" w:fill="F0F0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  <w:shd w:val="clear" w:fill="F0F0F0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864"/>
            <w:shd w:val="clear" w:fill="F0F0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5472"/>
            <w:shd w:val="clear" w:fill="F0F0F0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5 restaurantes configurables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Seed crea 2 venues; /auth/register crea N con slug único y trial Pro (corregido en esta fase)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QR generable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8A5A00"/>
                <w:sz w:val="18"/>
              </w:rPr>
              <w:t>◐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Solo QR de reseña; sin generación de QR de menú (único criterio parcial)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Pedido sin asistencia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Flujo público /public/venues/:slug/orders + seguimiento por token + rate limit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Pedido llega a KDS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Transiciones pending→accepted→preparing→ready→completed + RBAC + outbox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Sin pérdida de pedidos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Outbox transaccional + test T4 (notificador caído no pierde el pedido)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Sin doble pago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idempotency_key/external_ref UNIQUE + 409 PAYMENT_ALREADY_PROCESSED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Aislamiento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Test T1 + scoping por venue; fuga de me/orders cerrada con regresión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Dashboard refleja ventas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/analytics/summary (ventas, pedidos, ticket promedio, top productos)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Monitoreo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/api/v1/healthz y /api/v1/metrics (order_count, latency p50/p95) verificados en vivo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j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Backups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A6B2D"/>
                <w:sz w:val="18"/>
              </w:rPr>
              <w:t>✅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scripts/backup.sh con sqlite3 .backup y timestamp; evidencia de drill en backups/</w:t>
            </w:r>
          </w:p>
        </w:tc>
      </w:tr>
    </w:tbl>
    <w:p>
      <w:r>
        <w:rPr>
          <w:b/>
        </w:rPr>
        <w:t>Resultado: 8 ✅ · 1 ◐ · 0 ❌</w:t>
      </w:r>
    </w:p>
    <w:p>
      <w:pPr>
        <w:pStyle w:val="Heading1"/>
      </w:pPr>
      <w:r>
        <w:t>7. E2E críticos (§41) vs suite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fill="F0F0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744"/>
            <w:shd w:val="clear" w:fill="F0F0F0"/>
          </w:tcPr>
          <w:p>
            <w:r/>
            <w:r>
              <w:rPr>
                <w:b/>
                <w:sz w:val="18"/>
              </w:rPr>
              <w:t>Flujo</w:t>
            </w:r>
          </w:p>
        </w:tc>
        <w:tc>
          <w:tcPr>
            <w:tcW w:type="dxa" w:w="5328"/>
            <w:shd w:val="clear" w:fill="F0F0F0"/>
          </w:tcPr>
          <w:p>
            <w:r/>
            <w:r>
              <w:rPr>
                <w:b/>
                <w:sz w:val="18"/>
              </w:rPr>
              <w:t>Cobertura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E2E-001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Registro → negocio → menú</w:t>
            </w:r>
          </w:p>
        </w:tc>
        <w:tc>
          <w:tcPr>
            <w:tcW w:type="dxa" w:w="5328"/>
          </w:tcPr>
          <w:p>
            <w:r/>
            <w:r>
              <w:rPr>
                <w:b/>
                <w:color w:val="8A5A00"/>
                <w:sz w:val="18"/>
              </w:rPr>
              <w:t>PARCIAL — registro cubierto y corregido; falta test de alta de menú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E2E-002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QR → producto → carrito → pedido</w:t>
            </w:r>
          </w:p>
        </w:tc>
        <w:tc>
          <w:tcPr>
            <w:tcW w:type="dxa" w:w="5328"/>
          </w:tcPr>
          <w:p>
            <w:r/>
            <w:r>
              <w:rPr>
                <w:b/>
                <w:color w:val="8A5A00"/>
                <w:sz w:val="18"/>
              </w:rPr>
              <w:t>PARCIAL — pedido y reseña por API ✓; sin QR de menú ni flujo carrito real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E2E-003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Pedido → KDS → listo</w:t>
            </w:r>
          </w:p>
        </w:tc>
        <w:tc>
          <w:tcPr>
            <w:tcW w:type="dxa" w:w="5328"/>
          </w:tcPr>
          <w:p>
            <w:r/>
            <w:r>
              <w:rPr>
                <w:b/>
                <w:color w:val="0A6B2D"/>
                <w:sz w:val="18"/>
              </w:rPr>
              <w:t>✅ CUBIERTO por API (4 transiciones + RBAC kitchen)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E2E-004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Mesa → cuenta → pago</w:t>
            </w:r>
          </w:p>
        </w:tc>
        <w:tc>
          <w:tcPr>
            <w:tcW w:type="dxa" w:w="5328"/>
          </w:tcPr>
          <w:p>
            <w:r/>
            <w:r>
              <w:rPr>
                <w:b/>
                <w:color w:val="AA0000"/>
                <w:sz w:val="18"/>
              </w:rPr>
              <w:t>NO CUBIERTO — no existe modelo de mesas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E2E-005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Pago online → webhook</w:t>
            </w:r>
          </w:p>
        </w:tc>
        <w:tc>
          <w:tcPr>
            <w:tcW w:type="dxa" w:w="5328"/>
          </w:tcPr>
          <w:p>
            <w:r/>
            <w:r>
              <w:rPr>
                <w:b/>
                <w:color w:val="8A5A00"/>
                <w:sz w:val="18"/>
              </w:rPr>
              <w:t>PARCIAL — pago mock cubierto; sin webhook (grep = 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E2E-006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Boleta / factura</w:t>
            </w:r>
          </w:p>
        </w:tc>
        <w:tc>
          <w:tcPr>
            <w:tcW w:type="dxa" w:w="5328"/>
          </w:tcPr>
          <w:p>
            <w:r/>
            <w:r>
              <w:rPr>
                <w:b/>
                <w:color w:val="AA0000"/>
                <w:sz w:val="18"/>
              </w:rPr>
              <w:t>NO CUBIERTO — sin documento fiscal de ventas (coherente con D-06)</w:t>
            </w:r>
          </w:p>
        </w:tc>
      </w:tr>
    </w:tbl>
    <w:p>
      <w:pPr>
        <w:pStyle w:val="Heading1"/>
      </w:pPr>
      <w:r>
        <w:t>8. Roadmap de ejecución (§47) — 5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F0F0F0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1872"/>
            <w:shd w:val="clear" w:fill="F0F0F0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760"/>
            <w:shd w:val="clear" w:fill="F0F0F0"/>
          </w:tcPr>
          <w:p>
            <w:r/>
            <w:r>
              <w:rPr>
                <w:b/>
                <w:sz w:val="18"/>
              </w:rPr>
              <w:t>Entregables clave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F0 — Base segura (sem 1-2)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Blindar lo existente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Suite de aislamiento por tabla (§42); E2E-001 completo; CSP + CSRF; rotación de sesiones; backups automatizados + alerta; UNIQUE en subscription_payments.external_ref; definir RPO/RTO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F1 — Piloto pedidos en línea (sem 3-5)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Operar la secuencia §58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QR general + descarga (M09); checkout canal mesa (M13); eje de producción + KDS con SLA (M15/M18); impresión (M20); pagos efectivo/Yape/Plin + pasarela con webhook (M23-25/§16); caja apertura/cierre (M26 mín.)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F2 — Operación local full (mes 2)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Restaurante físico y delivery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Mesas + cuentas abiertas (M10-11); inventario conectado (M39); delivery con radio (M21); reservas públicas (M30); roles en BD + multi-sucursal (M45-47); widgets restantes del home (M43/§8); E2E-004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F3 — Crecimiento (mes 3)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Retención y soporte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Fidelización y segmentación (M34-35); promociones por horario/categoría (M28); notificaciones multicanal (M36); soporte (M51); KDS standalone; waitlist (M31)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F4 — Perú Pro + pulido (mes 4+)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Fiscal y calidad final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Facturación electrónica (M37-38, §30); libro de reclamaciones (M53); webhooks SUNAT (§16); privacidad ARCO (M54); a11y y responsive finales; superadmin con KPIs (M50)</w:t>
            </w:r>
          </w:p>
        </w:tc>
      </w:tr>
    </w:tbl>
    <w:p>
      <w:r>
        <w:rPr>
          <w:color w:val="333333"/>
          <w:sz w:val="18"/>
        </w:rPr>
        <w:t>Criterio de salida F0→F1: suite verde (hoy 23/23), suite de aislamiento por tabla publicada y cero hallazgos P0 de seguridad abiertos.</w:t>
      </w:r>
    </w:p>
    <w:p>
      <w:pPr>
        <w:pStyle w:val="Heading1"/>
      </w:pPr>
      <w:r>
        <w:t>9. Gobernanza y calidad de proceso</w:t>
      </w:r>
    </w:p>
    <w:p>
      <w:pPr>
        <w:pStyle w:val="ListBullet"/>
        <w:spacing w:after="40"/>
      </w:pPr>
      <w:r>
        <w:rPr>
          <w:b/>
        </w:rPr>
        <w:t xml:space="preserve">Scripts no destructivos: grep 'rm |unlink|find .*delete' en scripts/ → </w:t>
      </w:r>
      <w:r>
        <w:t xml:space="preserve"> 0 coincidencias; rollback/rehearsal usan mv a backups/quarantine (evidencia física del drill del 24-08).</w:t>
      </w:r>
    </w:p>
    <w:p>
      <w:pPr>
        <w:pStyle w:val="ListBullet"/>
        <w:spacing w:after="40"/>
      </w:pPr>
      <w:r>
        <w:rPr>
          <w:b/>
        </w:rPr>
        <w:t xml:space="preserve">.gitignore </w:t>
      </w:r>
      <w:r>
        <w:t xml:space="preserve"> cubre data/*.db*, backups/, .env, *.log.</w:t>
      </w:r>
    </w:p>
    <w:p>
      <w:pPr>
        <w:pStyle w:val="ListBullet"/>
        <w:spacing w:after="40"/>
      </w:pPr>
      <w:r>
        <w:rPr>
          <w:b/>
        </w:rPr>
        <w:t xml:space="preserve">Documentación alineada a la realidad (3 discrepancias corregidas): </w:t>
      </w:r>
      <w:r>
        <w:t xml:space="preserve"> informe de pruebas 21→23 y 50/50; ruta /api/v1/metrics; nombres reales de métricas en operaciones.md (0 ocurrencias de contadores Prometheus ficticios).</w:t>
      </w:r>
    </w:p>
    <w:p>
      <w:pPr>
        <w:pStyle w:val="ListBullet"/>
        <w:spacing w:after="40"/>
      </w:pPr>
      <w:r>
        <w:rPr>
          <w:b/>
        </w:rPr>
        <w:t xml:space="preserve">Pendientes de decisión de negocio: </w:t>
      </w:r>
      <w:r>
        <w:t xml:space="preserve"> RPO/RTO y poda de respaldos; el runbook de rollback conserva un rm supervisado de WAL (los scripts no lo usan).</w:t>
      </w:r>
    </w:p>
    <w:p>
      <w:pPr>
        <w:pStyle w:val="ListBullet"/>
        <w:spacing w:after="40"/>
      </w:pPr>
      <w:r>
        <w:rPr>
          <w:b/>
        </w:rPr>
        <w:t xml:space="preserve">Observabilidad: </w:t>
      </w:r>
      <w:r>
        <w:t xml:space="preserve"> healthz + metrics JSON verificados en vivo; sin logger estructurado (mejora P1 en roadmap).</w:t>
      </w:r>
    </w:p>
    <w:p>
      <w:pPr>
        <w:pStyle w:val="Heading1"/>
      </w:pPr>
      <w:r>
        <w:t>10. Supuestos y decisiones tomadas</w:t>
      </w:r>
    </w:p>
    <w:p>
      <w:pPr>
        <w:pStyle w:val="ListBullet"/>
        <w:spacing w:after="40"/>
      </w:pPr>
      <w:r>
        <w:rPr>
          <w:b/>
        </w:rPr>
        <w:t xml:space="preserve">El PRD se ejecutó como proceso (Fase 0), no como reescritura — </w:t>
      </w:r>
      <w:r>
        <w:t xml:space="preserve"> prohibida por §0/§33-36; 0 líneas de features nuevas, solo defectos P0 y documentación.</w:t>
      </w:r>
    </w:p>
    <w:p>
      <w:pPr>
        <w:pStyle w:val="ListBullet"/>
        <w:spacing w:after="40"/>
      </w:pPr>
      <w:r>
        <w:rPr>
          <w:b/>
        </w:rPr>
        <w:t xml:space="preserve">Trabajo en sandbox aislado — </w:t>
      </w:r>
      <w:r>
        <w:t xml:space="preserve"> puerto 3199, sandbox.db, copia sin git/datos/backups/.env; la demo en 3100 quedó intacta.</w:t>
      </w:r>
    </w:p>
    <w:p>
      <w:pPr>
        <w:pStyle w:val="ListBullet"/>
        <w:spacing w:after="40"/>
      </w:pPr>
      <w:r>
        <w:rPr>
          <w:b/>
        </w:rPr>
        <w:t xml:space="preserve">Fixes P0 aplicados directamente </w:t>
      </w:r>
      <w:r>
        <w:t xml:space="preserve"> al repo con 2 pruebas de regresión nuevas (suite 21→23).</w:t>
      </w:r>
    </w:p>
    <w:p>
      <w:pPr>
        <w:pStyle w:val="ListBullet"/>
        <w:spacing w:after="40"/>
      </w:pPr>
      <w:r>
        <w:rPr>
          <w:b/>
        </w:rPr>
        <w:t xml:space="preserve">Correcciones documentales </w:t>
      </w:r>
      <w:r>
        <w:t xml:space="preserve"> se aplicaron porque reflejan hechos verificados; RPO/RTO y trazabilidad de E2E-004/006 quedan como decisiones del dueño del producto.</w:t>
      </w:r>
    </w:p>
    <w:p>
      <w:pPr>
        <w:pStyle w:val="ListBullet"/>
        <w:spacing w:after="40"/>
      </w:pPr>
      <w:r>
        <w:rPr>
          <w:b/>
        </w:rPr>
        <w:t xml:space="preserve">Formato del informe: </w:t>
      </w:r>
      <w:r>
        <w:t xml:space="preserve"> versión HTML + DOCX del informe (preset 03 Information Architects); los 8 artefactos fuente quedan enlazados.</w:t>
      </w:r>
    </w:p>
    <w:p>
      <w:pPr>
        <w:pStyle w:val="Heading1"/>
      </w:pPr>
      <w:r>
        <w:t>11. Entregables y artefactos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/Users/alexds/.openclaw-autoclaw/agents/restaurant-growth/workspace/.cluster/restaurant-os/prd/plan.md</w:t>
      </w:r>
      <w:r>
        <w:t xml:space="preserve"> — plan S1-S5 y criterios de verificación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/Users/alexds/.openclaw-autoclaw/agents/restaurant-growth/workspace/.cluster/restaurant-os/prd/audit-backend.md</w:t>
      </w:r>
      <w:r>
        <w:t xml:space="preserve"> — módulos M01-M54, modelo §9/§10, reglas §51-54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/Users/alexds/.openclaw-autoclaw/agents/restaurant-growth/workspace/.cluster/restaurant-os/prd/audit-frontend.md</w:t>
      </w:r>
      <w:r>
        <w:t xml:space="preserve"> — UI §7/§8/§20-23, estética 11 Build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/Users/alexds/.openclaw-autoclaw/agents/restaurant-growth/workspace/.cluster/restaurant-os/prd/audit-tests.md</w:t>
      </w:r>
      <w:r>
        <w:t xml:space="preserve"> — pruebas §40-43, E2E-001..006, checklist MVP §56, gobernanza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/Users/alexds/.openclaw-autoclaw/agents/restaurant-growth/workspace/.cluster/restaurant-os/prd/matriz-prd.md</w:t>
      </w:r>
      <w:r>
        <w:t xml:space="preserve"> — matriz §33 completa (85 filas) y roadmap 5 fases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/Users/alexds/.openclaw-autoclaw/agents/restaurant-growth/workspace/.cluster/restaurant-os/prd/fixes-p0.md</w:t>
      </w:r>
      <w:r>
        <w:t xml:space="preserve"> — trazabilidad de los 5 fixes (antes/después + regresiones)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/Users/alexds/.openclaw-autoclaw/agents/restaurant-growth/workspace/.cluster/restaurant-os/prd/bitacora-ejecucion.md</w:t>
      </w:r>
      <w:r>
        <w:t xml:space="preserve"> — registro de ejecución: hash, sandbox, smoke, sin efectos secundarios</w:t>
      </w:r>
    </w:p>
    <w:p>
      <w:pPr>
        <w:pStyle w:val="ListBullet"/>
        <w:spacing w:after="40"/>
      </w:pPr>
      <w:r>
        <w:rPr>
          <w:b/>
        </w:rPr>
        <w:t>/Users/alexds/.openclaw-autoclaw/agents/restaurant-growth/workspace/.cluster/restaurant-os/prd/review.md</w:t>
      </w:r>
      <w:r>
        <w:t xml:space="preserve"> — conciliación S4 y verificación independiente</w:t>
      </w:r>
    </w:p>
    <w:p>
      <w:pPr>
        <w:pStyle w:val="ListBullet"/>
        <w:spacing w:after="40"/>
      </w:pPr>
      <w:r>
        <w:rPr>
          <w:b/>
        </w:rPr>
        <w:t>restaurant-os/docs/informe-pruebas.md</w:t>
      </w:r>
      <w:r>
        <w:t xml:space="preserve"> — actualizado a 23/23 y 50/50</w:t>
      </w:r>
    </w:p>
    <w:p>
      <w:pPr>
        <w:pStyle w:val="Heading1"/>
      </w:pPr>
      <w:r>
        <w:t>12. Cierre</w:t>
      </w:r>
    </w:p>
    <w:p>
      <w:r>
        <w:t>La Fase 0 del PRD concluye con la base existente blindada, la brecha frente a las 62 secciones cuantificada y priorizada (85 capacidades, 27 P0) y una hoja de ruta de 5 fases para llevar al piloto de 5-10 establecimientos (§57-58). El siguiente paso es la ejecución de la Fase 1 — Piloto pedidos en línea, comenzando por QR, checkout con modalidad mesa y el eje de producción de pedidos.</w:t>
      </w:r>
    </w:p>
    <w:p>
      <w:r>
        <w:rPr>
          <w:color w:val="333333"/>
          <w:sz w:val="18"/>
        </w:rPr>
        <w:t>Informe generado el 2026-08-25 (America/Lima) · Ejecución multi-agente (3 auditores, mapeador de matriz, verificación independiente) · Preset de estilo: 03 Information Architects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