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Privacy and Security Policy</w:t>
      </w:r>
    </w:p>
    <w:p>
      <w:pPr>
        <w:pStyle w:val="Heading2"/>
      </w:pPr>
      <w:r>
        <w:t>Purpose</w:t>
      </w:r>
    </w:p>
    <w:p>
      <w:r>
        <w:t>This policy establishes requirements for protecting company data, client data, and personal data processed by the company. All employees must comply with this policy. Non-compliance may result in disciplinary action and may constitute a breach of applicable data protection law.</w:t>
      </w:r>
    </w:p>
    <w:p>
      <w:pPr>
        <w:pStyle w:val="Heading2"/>
      </w:pPr>
      <w:r>
        <w:t>Password Requirements</w:t>
      </w:r>
    </w:p>
    <w:p>
      <w:r>
        <w:t>All passwords must be at least 12 characters long and include a mix of uppercase, lowercase, numbers, and symbols. Passwords must be changed every 90 days. Employees must not reuse the last 10 passwords. Passwords must never be shared with colleagues, written down, or stored in plain text.</w:t>
      </w:r>
    </w:p>
    <w:p>
      <w:pPr>
        <w:pStyle w:val="Heading2"/>
      </w:pPr>
      <w:r>
        <w:t>Multi-Factor Authentication</w:t>
      </w:r>
    </w:p>
    <w:p>
      <w:r>
        <w:t>Multi-factor authentication (MFA) is mandatory for all company systems including email, VPN, cloud storage, and any system containing personal or confidential data. MFA must not be disabled. Loss of an MFA device must be reported to IT immediately.</w:t>
      </w:r>
    </w:p>
    <w:p>
      <w:pPr>
        <w:pStyle w:val="Heading2"/>
      </w:pPr>
      <w:r>
        <w:t>Data Classification</w:t>
      </w:r>
    </w:p>
    <w:p>
      <w:r>
        <w:t>Company data is classified into four levels: Public (can be shared externally), Internal (for employees only), Confidential (restricted to those with need to know), and Restricted (highly sensitive, requires explicit authorization). Employee personal data and client data are classified as Confidential at minimum.</w:t>
      </w:r>
    </w:p>
    <w:p>
      <w:pPr>
        <w:pStyle w:val="Heading2"/>
      </w:pPr>
      <w:r>
        <w:t>Incident Reporting</w:t>
      </w:r>
    </w:p>
    <w:p>
      <w:r>
        <w:t>Any suspected or confirmed security incident including data breaches, phishing attempts, malware, or loss of a device must be reported to the IT security team at security@company.com within 1 hour of discovery. Do not attempt to investigate or contain an incident without IT guidance. Under GDPR, breaches must be assessed within 72 hours.</w:t>
      </w:r>
    </w:p>
    <w:p>
      <w:pPr>
        <w:pStyle w:val="Heading2"/>
      </w:pPr>
      <w:r>
        <w:t>Personal Devices</w:t>
      </w:r>
    </w:p>
    <w:p>
      <w:r>
        <w:t>Personal devices must not be used to access, store, or process company data or client data without explicit authorization from IT. Employees approved for BYOD must install the company's mobile device management software. Personal data from company systems must not be synced to personal cloud storage.</w:t>
      </w:r>
    </w:p>
    <w:p>
      <w:pPr>
        <w:pStyle w:val="Heading2"/>
      </w:pPr>
      <w:r>
        <w:t>Data Retention and Deletion</w:t>
      </w:r>
    </w:p>
    <w:p>
      <w:r>
        <w:t>Data must only be retained for as long as necessary for its stated purpose and in accordance with the company's retention schedule. When data is no longer needed, it must be securely deleted using approved methods. Physical documents containing confidential data must be shredded, not placed in general waste.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