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Expense Reimbursement Policy</w:t>
      </w:r>
    </w:p>
    <w:p>
      <w:pPr>
        <w:pStyle w:val="Heading2"/>
      </w:pPr>
      <w:r>
        <w:t>Purpose</w:t>
      </w:r>
    </w:p>
    <w:p>
      <w:r>
        <w:t>This policy establishes guidelines for reimbursement of business expenses incurred by employees in the course of their duties. The company will reimburse reasonable and necessary expenses that are properly documented and approved.</w:t>
      </w:r>
    </w:p>
    <w:p>
      <w:pPr>
        <w:pStyle w:val="Heading2"/>
      </w:pPr>
      <w:r>
        <w:t>Submission Deadline</w:t>
      </w:r>
    </w:p>
    <w:p>
      <w:r>
        <w:t>All expense claims must be submitted within 30 calendar days of the expense being incurred. Claims submitted after 30 days may be declined. Expense reports must be submitted through the company expense management system.</w:t>
      </w:r>
    </w:p>
    <w:p>
      <w:pPr>
        <w:pStyle w:val="Heading2"/>
      </w:pPr>
      <w:r>
        <w:t>Meals and Entertainment</w:t>
      </w:r>
    </w:p>
    <w:p>
      <w:r>
        <w:t>The per diem meal allowance is EUR 50 per day for domestic travel and EUR 75 per day for international travel. Alcohol is not reimbursable unless part of a pre-approved client entertainment event. Business purpose must be documented for all meal expenses.</w:t>
      </w:r>
    </w:p>
    <w:p>
      <w:pPr>
        <w:pStyle w:val="Heading2"/>
      </w:pPr>
      <w:r>
        <w:t>Accommodation</w:t>
      </w:r>
    </w:p>
    <w:p>
      <w:r>
        <w:t>Hotel expenses are reimbursable up to EUR 150 per night for domestic travel and EUR 200 per night for international travel. Employees should book through the company's preferred travel portal where possible. Any accommodation above these limits requires pre-approval from a director.</w:t>
      </w:r>
    </w:p>
    <w:p>
      <w:pPr>
        <w:pStyle w:val="Heading2"/>
      </w:pPr>
      <w:r>
        <w:t>Receipt Requirements</w:t>
      </w:r>
    </w:p>
    <w:p>
      <w:r>
        <w:t>Original receipts are required for all expenses of EUR 25 or more. Credit card statements are not acceptable substitutes for itemized receipts. Receipts must clearly show the vendor, date, and amount.</w:t>
      </w:r>
    </w:p>
    <w:p>
      <w:pPr>
        <w:pStyle w:val="Heading2"/>
      </w:pPr>
      <w:r>
        <w:t>Approval Thresholds</w:t>
      </w:r>
    </w:p>
    <w:p>
      <w:r>
        <w:t>Expenses up to EUR 500 require manager approval. Expenses between EUR 500 and EUR 2000 require director approval. Expenses above EUR 2000 require VP-level approval. Pre-approval is strongly recommended for large expenses.</w:t>
      </w:r>
    </w:p>
    <w:p>
      <w:pPr>
        <w:pStyle w:val="Heading2"/>
      </w:pPr>
      <w:r>
        <w:t>Non-Reimbursable Expenses</w:t>
      </w:r>
    </w:p>
    <w:p>
      <w:r>
        <w:t>The following are not reimbursable: personal entertainment, fines and penalties, personal travel upgrades, gifts to employees, political donations, and expenses that violate company policy or applicable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