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Business Travel Policy</w:t>
      </w:r>
    </w:p>
    <w:p>
      <w:pPr>
        <w:pStyle w:val="Heading2"/>
      </w:pPr>
      <w:r>
        <w:t>Purpose</w:t>
      </w:r>
    </w:p>
    <w:p>
      <w:r>
        <w:t>This policy governs all business travel by employees. All travel must be necessary for legitimate business purposes and must be approved in advance by the employee's manager. Employees are expected to exercise good judgment and spend company funds as they would their own.</w:t>
      </w:r>
    </w:p>
    <w:p>
      <w:pPr>
        <w:pStyle w:val="Heading2"/>
      </w:pPr>
      <w:r>
        <w:t>Booking Process</w:t>
      </w:r>
    </w:p>
    <w:p>
      <w:r>
        <w:t>All business travel must be booked through the company's approved travel portal at travel.company.com. Booking outside the portal requires written pre-approval from a director. The travel portal provides access to negotiated rates and ensures compliance with this policy.</w:t>
      </w:r>
    </w:p>
    <w:p>
      <w:pPr>
        <w:pStyle w:val="Heading2"/>
      </w:pPr>
      <w:r>
        <w:t>Air Travel</w:t>
      </w:r>
    </w:p>
    <w:p>
      <w:r>
        <w:t>Economy class is the standard for all flights. Business class is permitted for flights of 6 hours or more, or where the employee must be productive or client-facing immediately upon arrival. Upgrades using personal points or miles are permitted but the company will not reimburse upgrade fees.</w:t>
      </w:r>
    </w:p>
    <w:p>
      <w:pPr>
        <w:pStyle w:val="Heading2"/>
      </w:pPr>
      <w:r>
        <w:t>Ground Transportation</w:t>
      </w:r>
    </w:p>
    <w:p>
      <w:r>
        <w:t>Employees should use the most cost-effective ground transportation. Taxis and ride-shares are reimbursable when public transport is unavailable or impractical. Car rentals should be economy class. Personal vehicle use is reimbursed at the approved mileage rate of EUR 0.30 per kilometer.</w:t>
      </w:r>
    </w:p>
    <w:p>
      <w:pPr>
        <w:pStyle w:val="Heading2"/>
      </w:pPr>
      <w:r>
        <w:t>Per Diem</w:t>
      </w:r>
    </w:p>
    <w:p>
      <w:r>
        <w:t>The daily per diem for meals and incidentals is EUR 75 for domestic travel and EUR 100 for international travel. Actual meal receipts are not required when claiming per diem. If the company provides meals during the trip, the per diem is reduced proportionally.</w:t>
      </w:r>
    </w:p>
    <w:p>
      <w:pPr>
        <w:pStyle w:val="Heading2"/>
      </w:pPr>
      <w:r>
        <w:t>Travel Insurance</w:t>
      </w:r>
    </w:p>
    <w:p>
      <w:r>
        <w:t>All employees traveling on company business are automatically covered by the company's corporate travel insurance. This covers medical emergencies, trip cancellation, lost luggage, and personal liability. Employees should carry their insurance card at all times during travel.</w:t>
      </w:r>
    </w:p>
    <w:p>
      <w:pPr>
        <w:pStyle w:val="Heading2"/>
      </w:pPr>
      <w:r>
        <w:t>Expense Submission</w:t>
      </w:r>
    </w:p>
    <w:p>
      <w:r>
        <w:t>Travel expenses must be submitted within 5 business days of returning from the trip. Receipts for accommodation, flights, and any expense over EUR 25 must be attached. Late submissions may be declined. Intentional misrepresentation of expenses constitutes fraud and will result in immediate termination.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