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8D8" w:rsidRDefault="00C90742">
      <w:pPr>
        <w:rPr>
          <w:lang w:val="en-US"/>
        </w:rPr>
      </w:pPr>
      <w:r>
        <w:rPr>
          <w:lang w:val="en-US"/>
        </w:rPr>
        <w:t>Results</w:t>
      </w:r>
    </w:p>
    <w:p w:rsidR="00C90742" w:rsidRDefault="00C90742">
      <w:pPr>
        <w:rPr>
          <w:lang w:val="en-US"/>
        </w:rPr>
      </w:pPr>
    </w:p>
    <w:p w:rsidR="00C90742" w:rsidRDefault="00C90742">
      <w:pPr>
        <w:rPr>
          <w:lang w:val="en-US"/>
        </w:rPr>
      </w:pPr>
      <w:r>
        <w:rPr>
          <w:lang w:val="en-US"/>
        </w:rPr>
        <w:t>Our goal is to determine the binding mechanism that best fit the human predicate-filler rating data. Using the human single item ratings (see below) we determined predicted predicate-filler similarities for all word pairs in the experiment. As noted above, the similarity between two tensor product bindings</w:t>
      </w:r>
      <w:r w:rsidR="00443015">
        <w:rPr>
          <w:lang w:val="en-US"/>
        </w:rPr>
        <w:t xml:space="preserve"> (TP)</w:t>
      </w:r>
      <w:r>
        <w:rPr>
          <w:lang w:val="en-US"/>
        </w:rPr>
        <w:t xml:space="preserve"> is equal to the product of the similarity of the roles to the similarity of the filler, or:</w:t>
      </w:r>
    </w:p>
    <w:p w:rsidR="00443015" w:rsidRDefault="00443015">
      <w:pPr>
        <w:rPr>
          <w:lang w:val="en-US"/>
        </w:rPr>
      </w:pPr>
    </w:p>
    <w:p w:rsidR="00443015" w:rsidRDefault="00443015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(rf,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(f,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C90742" w:rsidRDefault="00C90742">
      <w:pPr>
        <w:rPr>
          <w:lang w:val="en-US"/>
        </w:rPr>
      </w:pPr>
    </w:p>
    <w:p w:rsidR="00C90742" w:rsidRDefault="00C90742">
      <w:pPr>
        <w:rPr>
          <w:lang w:val="en-US"/>
        </w:rPr>
      </w:pPr>
      <w:r>
        <w:rPr>
          <w:lang w:val="en-US"/>
        </w:rPr>
        <w:t>where</w:t>
      </w:r>
      <w:r w:rsidR="00443015">
        <w:rPr>
          <w:lang w:val="en-US"/>
        </w:rPr>
        <w:t xml:space="preserve"> </w:t>
      </w:r>
      <w:proofErr w:type="spellStart"/>
      <w:r w:rsidR="00443015">
        <w:rPr>
          <w:i/>
          <w:lang w:val="en-US"/>
        </w:rPr>
        <w:t>rf</w:t>
      </w:r>
      <w:proofErr w:type="spellEnd"/>
      <w:r w:rsidR="00443015">
        <w:rPr>
          <w:lang w:val="en-US"/>
        </w:rPr>
        <w:t xml:space="preserve"> is the tensor product of </w:t>
      </w:r>
      <w:r w:rsidR="00443015">
        <w:rPr>
          <w:i/>
          <w:lang w:val="en-US"/>
        </w:rPr>
        <w:t>r</w:t>
      </w:r>
      <w:r w:rsidR="00443015">
        <w:rPr>
          <w:lang w:val="en-US"/>
        </w:rPr>
        <w:t xml:space="preserve"> and </w:t>
      </w:r>
      <w:r w:rsidR="00443015">
        <w:rPr>
          <w:i/>
          <w:lang w:val="en-US"/>
        </w:rPr>
        <w:t>f</w:t>
      </w:r>
      <w:r>
        <w:rPr>
          <w:lang w:val="en-US"/>
        </w:rPr>
        <w:t>. Similarly, for asynchrony</w:t>
      </w:r>
      <w:r w:rsidR="00443015">
        <w:rPr>
          <w:lang w:val="en-US"/>
        </w:rPr>
        <w:t>-</w:t>
      </w:r>
      <w:r>
        <w:rPr>
          <w:lang w:val="en-US"/>
        </w:rPr>
        <w:t>based binding</w:t>
      </w:r>
      <w:r w:rsidR="00443015">
        <w:rPr>
          <w:lang w:val="en-US"/>
        </w:rPr>
        <w:t xml:space="preserve"> (AB)</w:t>
      </w:r>
      <w:r>
        <w:rPr>
          <w:lang w:val="en-US"/>
        </w:rPr>
        <w:t>, the similarity between two role filler bindings is equal to the weighted average of the similarity of the roles and the similarity of the fillers, or:</w:t>
      </w:r>
    </w:p>
    <w:p w:rsidR="00C90742" w:rsidRDefault="00C90742">
      <w:pPr>
        <w:rPr>
          <w:lang w:val="en-US"/>
        </w:rPr>
      </w:pPr>
    </w:p>
    <w:p w:rsidR="00C90742" w:rsidRDefault="00C9074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r,f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1-n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</m:t>
              </m:r>
              <m:r>
                <w:rPr>
                  <w:rFonts w:ascii="Cambria Math" w:hAnsi="Cambria Math"/>
                  <w:lang w:val="en-US"/>
                </w:rPr>
                <m:t>(f,f')</m:t>
              </m:r>
            </m:e>
          </m:d>
        </m:oMath>
      </m:oMathPara>
    </w:p>
    <w:p w:rsidR="00C90742" w:rsidRDefault="00C90742">
      <w:pPr>
        <w:rPr>
          <w:lang w:val="en-US"/>
        </w:rPr>
      </w:pPr>
    </w:p>
    <w:p w:rsidR="00C90742" w:rsidRDefault="00C90742">
      <w:pPr>
        <w:rPr>
          <w:lang w:val="en-US"/>
        </w:rPr>
      </w:pPr>
      <w:r>
        <w:rPr>
          <w:lang w:val="en-US"/>
        </w:rPr>
        <w:t xml:space="preserve">where, </w:t>
      </w:r>
      <w:r>
        <w:rPr>
          <w:i/>
          <w:lang w:val="en-US"/>
        </w:rPr>
        <w:t>A</w:t>
      </w:r>
      <w:r w:rsidR="00443015">
        <w:rPr>
          <w:lang w:val="en-US"/>
        </w:rPr>
        <w:t>(</w:t>
      </w:r>
      <w:proofErr w:type="spellStart"/>
      <w:proofErr w:type="gramStart"/>
      <w:r w:rsidR="00443015">
        <w:rPr>
          <w:i/>
          <w:lang w:val="en-US"/>
        </w:rPr>
        <w:t>r</w:t>
      </w:r>
      <w:r w:rsidR="00443015">
        <w:rPr>
          <w:lang w:val="en-US"/>
        </w:rPr>
        <w:t>,</w:t>
      </w:r>
      <w:r w:rsidR="00443015">
        <w:rPr>
          <w:i/>
          <w:lang w:val="en-US"/>
        </w:rPr>
        <w:t>f</w:t>
      </w:r>
      <w:proofErr w:type="spellEnd"/>
      <w:proofErr w:type="gramEnd"/>
      <w:r w:rsidR="00443015">
        <w:rPr>
          <w:lang w:val="en-US"/>
        </w:rPr>
        <w:t xml:space="preserve">) is the binding of </w:t>
      </w:r>
      <w:r w:rsidR="00443015">
        <w:rPr>
          <w:i/>
          <w:lang w:val="en-US"/>
        </w:rPr>
        <w:t>r</w:t>
      </w:r>
      <w:r w:rsidR="00443015">
        <w:rPr>
          <w:lang w:val="en-US"/>
        </w:rPr>
        <w:t xml:space="preserve"> to </w:t>
      </w:r>
      <w:r w:rsidR="00443015">
        <w:rPr>
          <w:i/>
          <w:lang w:val="en-US"/>
        </w:rPr>
        <w:t>f</w:t>
      </w:r>
      <w:r w:rsidR="00443015">
        <w:rPr>
          <w:lang w:val="en-US"/>
        </w:rPr>
        <w:t xml:space="preserve"> via systematic asynchrony, and </w:t>
      </w:r>
      <w:r w:rsidR="00443015" w:rsidRPr="00443015">
        <w:rPr>
          <w:i/>
          <w:lang w:val="en-US"/>
        </w:rPr>
        <w:t>n</w:t>
      </w:r>
      <w:r w:rsidR="00443015">
        <w:rPr>
          <w:lang w:val="en-US"/>
        </w:rPr>
        <w:t xml:space="preserve"> is a weighting parameter, here set to 0.5 to get an unbiased average. </w:t>
      </w:r>
    </w:p>
    <w:p w:rsidR="00443015" w:rsidRDefault="00443015">
      <w:pPr>
        <w:rPr>
          <w:lang w:val="en-US"/>
        </w:rPr>
      </w:pPr>
    </w:p>
    <w:p w:rsidR="00443015" w:rsidRDefault="00443015">
      <w:pPr>
        <w:rPr>
          <w:lang w:val="en-US"/>
        </w:rPr>
      </w:pPr>
      <w:r>
        <w:rPr>
          <w:lang w:val="en-US"/>
        </w:rPr>
        <w:t xml:space="preserve">Modeling the result of synchrony-based binding is not so straightforward, as the results of the binding process vary greatly when </w:t>
      </w:r>
      <w:r>
        <w:rPr>
          <w:i/>
          <w:lang w:val="en-US"/>
        </w:rPr>
        <w:t>r</w:t>
      </w:r>
      <w:r>
        <w:rPr>
          <w:lang w:val="en-US"/>
        </w:rPr>
        <w:t xml:space="preserve"> and </w:t>
      </w:r>
      <w:r>
        <w:rPr>
          <w:i/>
          <w:lang w:val="en-US"/>
        </w:rPr>
        <w:t xml:space="preserve">f </w:t>
      </w:r>
      <w:r>
        <w:rPr>
          <w:lang w:val="en-US"/>
        </w:rPr>
        <w:t xml:space="preserve">are coded on independent or non-independent dimensions. See supplemental materials for more discussion of this issue and illustration by simulation. </w:t>
      </w:r>
    </w:p>
    <w:p w:rsidR="00443015" w:rsidRDefault="00443015">
      <w:pPr>
        <w:rPr>
          <w:lang w:val="en-US"/>
        </w:rPr>
      </w:pPr>
    </w:p>
    <w:p w:rsidR="00443015" w:rsidRDefault="00443015">
      <w:pPr>
        <w:rPr>
          <w:lang w:val="en-US"/>
        </w:rPr>
      </w:pPr>
      <w:r>
        <w:rPr>
          <w:lang w:val="en-US"/>
        </w:rPr>
        <w:t xml:space="preserve">After calculating the predicted similarities of predicate-filler bindings using both TP and AB, we used both to model the human similarity ratings. We </w:t>
      </w:r>
      <w:r w:rsidR="002D173E">
        <w:rPr>
          <w:lang w:val="en-US"/>
        </w:rPr>
        <w:t>built two</w:t>
      </w:r>
      <w:r>
        <w:rPr>
          <w:lang w:val="en-US"/>
        </w:rPr>
        <w:t xml:space="preserve"> </w:t>
      </w:r>
      <w:r w:rsidR="002D173E">
        <w:rPr>
          <w:lang w:val="en-US"/>
        </w:rPr>
        <w:t xml:space="preserve">hierarchical models with TP and AB predicting human ratings, with participants as a random variable (intercept only; modeling participants with independent slopes produced similar results). The results are presented in Table 1. </w:t>
      </w:r>
    </w:p>
    <w:p w:rsidR="002D173E" w:rsidRDefault="002D173E">
      <w:pPr>
        <w:rPr>
          <w:lang w:val="en-US"/>
        </w:rPr>
      </w:pPr>
    </w:p>
    <w:p w:rsidR="002D173E" w:rsidRDefault="002D173E">
      <w:pPr>
        <w:rPr>
          <w:lang w:val="en-US"/>
        </w:rPr>
      </w:pPr>
      <w:r>
        <w:rPr>
          <w:lang w:val="en-US"/>
        </w:rPr>
        <w:t xml:space="preserve">Table 1. Summary of results of quality of models using tensor product (TP) and asynchrony-based binding (AB) to predict human ratings of similarities of role-filler pairs.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D173E" w:rsidTr="002D173E">
        <w:tc>
          <w:tcPr>
            <w:tcW w:w="2252" w:type="dxa"/>
          </w:tcPr>
          <w:p w:rsidR="002D173E" w:rsidRPr="002D173E" w:rsidRDefault="002D173E" w:rsidP="002D173E">
            <w:pPr>
              <w:jc w:val="center"/>
              <w:rPr>
                <w:b/>
                <w:lang w:val="en-US"/>
              </w:rPr>
            </w:pPr>
            <w:r w:rsidRPr="002D173E">
              <w:rPr>
                <w:b/>
                <w:lang w:val="en-US"/>
              </w:rPr>
              <w:t>Model</w:t>
            </w:r>
          </w:p>
        </w:tc>
        <w:tc>
          <w:tcPr>
            <w:tcW w:w="2252" w:type="dxa"/>
          </w:tcPr>
          <w:p w:rsidR="002D173E" w:rsidRPr="002D173E" w:rsidRDefault="002D173E" w:rsidP="002D173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AIC</w:t>
            </w:r>
          </w:p>
        </w:tc>
        <w:tc>
          <w:tcPr>
            <w:tcW w:w="2253" w:type="dxa"/>
          </w:tcPr>
          <w:p w:rsidR="002D173E" w:rsidRPr="002D173E" w:rsidRDefault="002D173E" w:rsidP="002D173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BIC</w:t>
            </w:r>
          </w:p>
        </w:tc>
        <w:tc>
          <w:tcPr>
            <w:tcW w:w="2253" w:type="dxa"/>
          </w:tcPr>
          <w:p w:rsidR="002D173E" w:rsidRPr="002D173E" w:rsidRDefault="002D173E" w:rsidP="002D173E">
            <w:pPr>
              <w:jc w:val="center"/>
              <w:rPr>
                <w:b/>
                <w:vertAlign w:val="superscript"/>
                <w:lang w:val="en-US"/>
              </w:rPr>
            </w:pPr>
            <w:r>
              <w:rPr>
                <w:b/>
                <w:lang w:val="en-US"/>
              </w:rPr>
              <w:t>estR</w:t>
            </w:r>
            <w:r>
              <w:rPr>
                <w:b/>
                <w:vertAlign w:val="superscript"/>
                <w:lang w:val="en-US"/>
              </w:rPr>
              <w:t>2</w:t>
            </w:r>
          </w:p>
        </w:tc>
      </w:tr>
      <w:tr w:rsidR="002D173E" w:rsidTr="002D173E">
        <w:tc>
          <w:tcPr>
            <w:tcW w:w="2252" w:type="dxa"/>
          </w:tcPr>
          <w:p w:rsidR="002D173E" w:rsidRDefault="002D173E" w:rsidP="002D173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Rating~TP</w:t>
            </w:r>
            <w:proofErr w:type="spellEnd"/>
          </w:p>
        </w:tc>
        <w:tc>
          <w:tcPr>
            <w:tcW w:w="2252" w:type="dxa"/>
          </w:tcPr>
          <w:p w:rsidR="002D173E" w:rsidRDefault="002D173E" w:rsidP="002D173E">
            <w:pPr>
              <w:jc w:val="center"/>
              <w:rPr>
                <w:lang w:val="en-US"/>
              </w:rPr>
            </w:pPr>
            <w:r w:rsidRPr="002D173E">
              <w:rPr>
                <w:lang w:val="en-US"/>
              </w:rPr>
              <w:t>261721</w:t>
            </w:r>
          </w:p>
        </w:tc>
        <w:tc>
          <w:tcPr>
            <w:tcW w:w="2253" w:type="dxa"/>
          </w:tcPr>
          <w:p w:rsidR="002D173E" w:rsidRDefault="002D173E" w:rsidP="002D173E">
            <w:pPr>
              <w:jc w:val="center"/>
              <w:rPr>
                <w:lang w:val="en-US"/>
              </w:rPr>
            </w:pPr>
            <w:r w:rsidRPr="002D173E">
              <w:rPr>
                <w:lang w:val="en-US"/>
              </w:rPr>
              <w:t>261754</w:t>
            </w:r>
          </w:p>
        </w:tc>
        <w:tc>
          <w:tcPr>
            <w:tcW w:w="2253" w:type="dxa"/>
          </w:tcPr>
          <w:p w:rsidR="002D173E" w:rsidRDefault="002D173E" w:rsidP="002D1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.58</w:t>
            </w:r>
          </w:p>
        </w:tc>
      </w:tr>
      <w:tr w:rsidR="002D173E" w:rsidTr="002D173E">
        <w:tc>
          <w:tcPr>
            <w:tcW w:w="2252" w:type="dxa"/>
          </w:tcPr>
          <w:p w:rsidR="002D173E" w:rsidRDefault="002D173E" w:rsidP="002D173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Rating~AB</w:t>
            </w:r>
            <w:proofErr w:type="spellEnd"/>
          </w:p>
        </w:tc>
        <w:tc>
          <w:tcPr>
            <w:tcW w:w="2252" w:type="dxa"/>
          </w:tcPr>
          <w:p w:rsidR="002D173E" w:rsidRDefault="002D173E" w:rsidP="002D173E">
            <w:pPr>
              <w:jc w:val="center"/>
              <w:rPr>
                <w:lang w:val="en-US"/>
              </w:rPr>
            </w:pPr>
            <w:r w:rsidRPr="002D173E">
              <w:rPr>
                <w:lang w:val="en-US"/>
              </w:rPr>
              <w:t>258088</w:t>
            </w:r>
          </w:p>
        </w:tc>
        <w:tc>
          <w:tcPr>
            <w:tcW w:w="2253" w:type="dxa"/>
          </w:tcPr>
          <w:p w:rsidR="002D173E" w:rsidRDefault="002D173E" w:rsidP="002D173E">
            <w:pPr>
              <w:jc w:val="center"/>
              <w:rPr>
                <w:lang w:val="en-US"/>
              </w:rPr>
            </w:pPr>
            <w:r w:rsidRPr="002D173E">
              <w:rPr>
                <w:lang w:val="en-US"/>
              </w:rPr>
              <w:t>258121</w:t>
            </w:r>
          </w:p>
        </w:tc>
        <w:tc>
          <w:tcPr>
            <w:tcW w:w="2253" w:type="dxa"/>
          </w:tcPr>
          <w:p w:rsidR="002D173E" w:rsidRDefault="002D173E" w:rsidP="002D1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.63</w:t>
            </w:r>
          </w:p>
        </w:tc>
      </w:tr>
    </w:tbl>
    <w:p w:rsidR="002D173E" w:rsidRDefault="002D173E">
      <w:pPr>
        <w:rPr>
          <w:lang w:val="en-US"/>
        </w:rPr>
      </w:pPr>
    </w:p>
    <w:p w:rsidR="002D173E" w:rsidRPr="002D173E" w:rsidRDefault="002D173E">
      <w:pPr>
        <w:rPr>
          <w:lang w:val="en-US"/>
        </w:rPr>
      </w:pPr>
      <w:r>
        <w:rPr>
          <w:lang w:val="en-US"/>
        </w:rPr>
        <w:t>In short, human ratings followed the predictions of AB rather than TP. Moreover, the relative closeness of the estimated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was in large part a product of the similar predictions made by both AB and TP for a subset of the similarities of predicate-filler pairs (e.g., both models predict maximal similarity when both roles and fillers are identical). In line with this observation, adding the TP predictions to a model with AB increased estimated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by 0.0</w:t>
      </w:r>
      <w:r w:rsidR="00873358">
        <w:rPr>
          <w:lang w:val="en-US"/>
        </w:rPr>
        <w:t xml:space="preserve">02. </w:t>
      </w:r>
      <w:bookmarkStart w:id="0" w:name="_GoBack"/>
      <w:bookmarkEnd w:id="0"/>
    </w:p>
    <w:sectPr w:rsidR="002D173E" w:rsidRPr="002D173E" w:rsidSect="0016671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42"/>
    <w:rsid w:val="0016671F"/>
    <w:rsid w:val="002D173E"/>
    <w:rsid w:val="00443015"/>
    <w:rsid w:val="00873358"/>
    <w:rsid w:val="00C90742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AAEE5"/>
  <w14:defaultImageDpi w14:val="32767"/>
  <w15:chartTrackingRefBased/>
  <w15:docId w15:val="{8E8D1718-5817-FA41-85ED-9B60BF1F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742"/>
    <w:rPr>
      <w:color w:val="808080"/>
    </w:rPr>
  </w:style>
  <w:style w:type="table" w:styleId="TableGrid">
    <w:name w:val="Table Grid"/>
    <w:basedOn w:val="TableNormal"/>
    <w:uiPriority w:val="39"/>
    <w:rsid w:val="002D1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DOUMAS Leonidas</dc:creator>
  <cp:keywords/>
  <dc:description/>
  <cp:lastModifiedBy>DOUMAS Leonidas</cp:lastModifiedBy>
  <cp:revision>1</cp:revision>
  <dcterms:created xsi:type="dcterms:W3CDTF">2019-04-19T09:53:00Z</dcterms:created>
  <dcterms:modified xsi:type="dcterms:W3CDTF">2019-04-19T10:25:00Z</dcterms:modified>
</cp:coreProperties>
</file>