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evidencias de pruebas técnicas</w:t>
      </w:r>
    </w:p>
    <w:p>
      <w:r>
        <w:t>Prueba DevOps — aplicación Java / Spring Boot</w:t>
      </w:r>
    </w:p>
    <w:p>
      <w:r>
        <w:t>Repositorio público: https://github.com/AlexEscobar97/devsu-devops-technical-challenge</w:t>
      </w:r>
    </w:p>
    <w:p>
      <w:r>
        <w:t>Ejecución documentada: entorno local Windows, Docker Desktop y Kubernetes; automatización en GitHub Actions.</w:t>
      </w:r>
    </w:p>
    <w:p>
      <w:pPr>
        <w:pStyle w:val="Heading1"/>
      </w:pPr>
      <w:r>
        <w:t>1. Objetivo y alcance</w:t>
      </w:r>
    </w:p>
    <w:p>
      <w:r>
        <w:t>Documentar, con comandos y capturas obtenidas durante la prueba, la construcción y ejecución de la aplicación, validaciones de salud, análisis de calidad, integración continua, publicación de imágenes y despliegue en Kubernetes con dos réplicas y autoscalado configurado.</w:t>
      </w:r>
    </w:p>
    <w:p>
      <w:r>
        <w:t>Este documento reúne evidencias verificadas. No se declara un despliegue automático al clúster local desde GitHub Actions, ni una prueba de escalado bajo carga, porque las capturas disponibles no demuestran esas acciones.</w:t>
      </w:r>
    </w:p>
    <w:p>
      <w:pPr>
        <w:pStyle w:val="Heading1"/>
      </w:pPr>
      <w:r>
        <w:t>2. Resumen de resultados</w:t>
      </w:r>
    </w:p>
    <w:tbl>
      <w:tblPr>
        <w:tblStyle w:val="LightShading-Accent1"/>
        <w:tblW w:type="auto" w:w="0"/>
        <w:tblLook w:firstColumn="1" w:firstRow="1" w:lastColumn="0" w:lastRow="0" w:noHBand="0" w:noVBand="1" w:val="04A0"/>
      </w:tblPr>
      <w:tblGrid>
        <w:gridCol w:w="4968"/>
        <w:gridCol w:w="4968"/>
      </w:tblGrid>
      <w:tr>
        <w:tc>
          <w:tcPr>
            <w:tcW w:type="dxa" w:w="4968"/>
          </w:tcPr>
          <w:p>
            <w:r>
              <w:t>Verificación</w:t>
            </w:r>
          </w:p>
        </w:tc>
        <w:tc>
          <w:tcPr>
            <w:tcW w:type="dxa" w:w="4968"/>
          </w:tcPr>
          <w:p>
            <w:r>
              <w:t>Resultado observado</w:t>
            </w:r>
          </w:p>
        </w:tc>
      </w:tr>
      <w:tr>
        <w:tc>
          <w:tcPr>
            <w:tcW w:type="dxa" w:w="4968"/>
          </w:tcPr>
          <w:p>
            <w:r>
              <w:t>Docker</w:t>
            </w:r>
          </w:p>
        </w:tc>
        <w:tc>
          <w:tcPr>
            <w:tcW w:type="dxa" w:w="4968"/>
          </w:tcPr>
          <w:p>
            <w:r>
              <w:t>Imagen construida y contenedor ejecutado localmente</w:t>
            </w:r>
          </w:p>
        </w:tc>
      </w:tr>
      <w:tr>
        <w:tc>
          <w:tcPr>
            <w:tcW w:type="dxa" w:w="4968"/>
          </w:tcPr>
          <w:p>
            <w:r>
              <w:t>Actuator</w:t>
            </w:r>
          </w:p>
        </w:tc>
        <w:tc>
          <w:tcPr>
            <w:tcW w:type="dxa" w:w="4968"/>
          </w:tcPr>
          <w:p>
            <w:r>
              <w:t>Health, liveness y readiness: UP</w:t>
            </w:r>
          </w:p>
        </w:tc>
      </w:tr>
      <w:tr>
        <w:tc>
          <w:tcPr>
            <w:tcW w:type="dxa" w:w="4968"/>
          </w:tcPr>
          <w:p>
            <w:r>
              <w:t>Análisis estático</w:t>
            </w:r>
          </w:p>
        </w:tc>
        <w:tc>
          <w:tcPr>
            <w:tcW w:type="dxa" w:w="4968"/>
          </w:tcPr>
          <w:p>
            <w:r>
              <w:t>Reporte Checkstyle generado; existen advertencias</w:t>
            </w:r>
          </w:p>
        </w:tc>
      </w:tr>
      <w:tr>
        <w:tc>
          <w:tcPr>
            <w:tcW w:type="dxa" w:w="4968"/>
          </w:tcPr>
          <w:p>
            <w:r>
              <w:t>Cobertura</w:t>
            </w:r>
          </w:p>
        </w:tc>
        <w:tc>
          <w:tcPr>
            <w:tcW w:type="dxa" w:w="4968"/>
          </w:tcPr>
          <w:p>
            <w:r>
              <w:t>JaCoCo: 30 % instrucciones y 0 % ramas en captura aportada</w:t>
            </w:r>
          </w:p>
        </w:tc>
      </w:tr>
      <w:tr>
        <w:tc>
          <w:tcPr>
            <w:tcW w:type="dxa" w:w="4968"/>
          </w:tcPr>
          <w:p>
            <w:r>
              <w:t>GitHub Actions</w:t>
            </w:r>
          </w:p>
        </w:tc>
        <w:tc>
          <w:tcPr>
            <w:tcW w:type="dxa" w:w="4968"/>
          </w:tcPr>
          <w:p>
            <w:r>
              <w:t>Trabajos de build/test y Docker publicados exitosamente</w:t>
            </w:r>
          </w:p>
        </w:tc>
      </w:tr>
      <w:tr>
        <w:tc>
          <w:tcPr>
            <w:tcW w:type="dxa" w:w="4968"/>
          </w:tcPr>
          <w:p>
            <w:r>
              <w:t>Kubernetes</w:t>
            </w:r>
          </w:p>
        </w:tc>
        <w:tc>
          <w:tcPr>
            <w:tcW w:type="dxa" w:w="4968"/>
          </w:tcPr>
          <w:p>
            <w:r>
              <w:t>Nodo Ready; Deployment 2/2; dos Pods Running</w:t>
            </w:r>
          </w:p>
        </w:tc>
      </w:tr>
      <w:tr>
        <w:tc>
          <w:tcPr>
            <w:tcW w:type="dxa" w:w="4968"/>
          </w:tcPr>
          <w:p>
            <w:r>
              <w:t>HPA</w:t>
            </w:r>
          </w:p>
        </w:tc>
        <w:tc>
          <w:tcPr>
            <w:tcW w:type="dxa" w:w="4968"/>
          </w:tcPr>
          <w:p>
            <w:r>
              <w:t>Metrics Server funcional; CPU 8 %/70 %; mínimo 2 y máximo 4 réplicas</w:t>
            </w:r>
          </w:p>
        </w:tc>
      </w:tr>
    </w:tbl>
    <w:p>
      <w:pPr>
        <w:pStyle w:val="Heading1"/>
      </w:pPr>
      <w:r>
        <w:t>3. Construcción y ejecución Docker</w:t>
      </w:r>
    </w:p>
    <w:p>
      <w:pPr>
        <w:spacing w:before="40" w:after="60"/>
      </w:pPr>
      <w:r>
        <w:rPr>
          <w:rFonts w:ascii="Consolas" w:hAnsi="Consolas"/>
          <w:color w:val="1F4F78"/>
          <w:sz w:val="16"/>
        </w:rPr>
        <w:t>docker build -t devsu-demo-java:1.0 .</w:t>
      </w:r>
    </w:p>
    <w:p>
      <w:pPr>
        <w:spacing w:before="40" w:after="60"/>
      </w:pPr>
      <w:r>
        <w:rPr>
          <w:rFonts w:ascii="Consolas" w:hAnsi="Consolas"/>
          <w:color w:val="1F4F78"/>
          <w:sz w:val="16"/>
        </w:rPr>
        <w:t>docker run -d --name devsu-java -p 8000:8000 devsu-demo-java:1.0</w:t>
      </w:r>
    </w:p>
    <w:p>
      <w:pPr>
        <w:spacing w:before="40" w:after="60"/>
      </w:pPr>
      <w:r>
        <w:rPr>
          <w:rFonts w:ascii="Consolas" w:hAnsi="Consolas"/>
          <w:color w:val="1F4F78"/>
          <w:sz w:val="16"/>
        </w:rPr>
        <w:t>docker ps   |   docker logs devsu-java</w:t>
      </w:r>
    </w:p>
    <w:p>
      <w:r>
        <w:t>Se construyó la imagen de la aplicación Java y se inició el contenedor exponiendo el puerto 8000. Se inspeccionaron su estado y los logs de inicio.</w:t>
      </w:r>
    </w:p>
    <w:p>
      <w:pPr>
        <w:spacing w:after="40"/>
        <w:jc w:val="center"/>
      </w:pPr>
      <w:r>
        <w:drawing>
          <wp:inline xmlns:a="http://schemas.openxmlformats.org/drawingml/2006/main" xmlns:pic="http://schemas.openxmlformats.org/drawingml/2006/picture">
            <wp:extent cx="4564056" cy="242316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64056" cy="2423160"/>
                    </a:xfrm>
                    <a:prstGeom prst="rect"/>
                  </pic:spPr>
                </pic:pic>
              </a:graphicData>
            </a:graphic>
          </wp:inline>
        </w:drawing>
      </w:r>
    </w:p>
    <w:p>
      <w:pPr>
        <w:pStyle w:val="Caption"/>
        <w:jc w:val="center"/>
      </w:pPr>
      <w:r>
        <w:t>Figura 1. Construcción de imagen Docker en entorno local.</w:t>
      </w:r>
    </w:p>
    <w:p>
      <w:pPr>
        <w:spacing w:after="40"/>
        <w:jc w:val="center"/>
      </w:pPr>
      <w:r>
        <w:drawing>
          <wp:inline xmlns:a="http://schemas.openxmlformats.org/drawingml/2006/main" xmlns:pic="http://schemas.openxmlformats.org/drawingml/2006/picture">
            <wp:extent cx="6263640" cy="94965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3640" cy="949659"/>
                    </a:xfrm>
                    <a:prstGeom prst="rect"/>
                  </pic:spPr>
                </pic:pic>
              </a:graphicData>
            </a:graphic>
          </wp:inline>
        </w:drawing>
      </w:r>
    </w:p>
    <w:p>
      <w:pPr>
        <w:pStyle w:val="Caption"/>
        <w:jc w:val="center"/>
      </w:pPr>
      <w:r>
        <w:t>Figura 2. Contenedor en ejecución, validado con docker ps.</w:t>
      </w:r>
    </w:p>
    <w:p>
      <w:pPr>
        <w:pStyle w:val="Heading1"/>
      </w:pPr>
      <w:r>
        <w:t>4. Verificación de disponibilidad</w:t>
      </w:r>
    </w:p>
    <w:p>
      <w:pPr>
        <w:spacing w:before="40" w:after="60"/>
      </w:pPr>
      <w:r>
        <w:rPr>
          <w:rFonts w:ascii="Consolas" w:hAnsi="Consolas"/>
          <w:color w:val="1F4F78"/>
          <w:sz w:val="16"/>
        </w:rPr>
        <w:t>Invoke-RestMethod http://localhost:8000/api/actuator/health</w:t>
      </w:r>
    </w:p>
    <w:p>
      <w:pPr>
        <w:spacing w:before="40" w:after="60"/>
      </w:pPr>
      <w:r>
        <w:rPr>
          <w:rFonts w:ascii="Consolas" w:hAnsi="Consolas"/>
          <w:color w:val="1F4F78"/>
          <w:sz w:val="16"/>
        </w:rPr>
        <w:t>Invoke-RestMethod http://localhost:8000/api/actuator/health/liveness</w:t>
      </w:r>
    </w:p>
    <w:p>
      <w:pPr>
        <w:spacing w:before="40" w:after="60"/>
      </w:pPr>
      <w:r>
        <w:rPr>
          <w:rFonts w:ascii="Consolas" w:hAnsi="Consolas"/>
          <w:color w:val="1F4F78"/>
          <w:sz w:val="16"/>
        </w:rPr>
        <w:t>Invoke-RestMethod http://localhost:8000/api/actuator/health/readiness</w:t>
      </w:r>
    </w:p>
    <w:p>
      <w:r>
        <w:t>Los tres endpoints respondieron con estado UP, según las salidas capturadas. Se utilizó Spring Boot Actuator para comprobar la salud de la aplicación.</w:t>
      </w:r>
    </w:p>
    <w:p>
      <w:pPr>
        <w:spacing w:after="40"/>
        <w:jc w:val="center"/>
      </w:pPr>
      <w:r>
        <w:drawing>
          <wp:inline xmlns:a="http://schemas.openxmlformats.org/drawingml/2006/main" xmlns:pic="http://schemas.openxmlformats.org/drawingml/2006/picture">
            <wp:extent cx="5026716" cy="28346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6716" cy="2834640"/>
                    </a:xfrm>
                    <a:prstGeom prst="rect"/>
                  </pic:spPr>
                </pic:pic>
              </a:graphicData>
            </a:graphic>
          </wp:inline>
        </w:drawing>
      </w:r>
    </w:p>
    <w:p>
      <w:pPr>
        <w:pStyle w:val="Caption"/>
        <w:jc w:val="center"/>
      </w:pPr>
      <w:r>
        <w:t>Figura 3. Comprobación de health, liveness y readiness.</w:t>
      </w:r>
    </w:p>
    <w:p>
      <w:pPr>
        <w:pStyle w:val="Heading1"/>
      </w:pPr>
      <w:r>
        <w:t>5. Análisis estático y cobertura</w:t>
      </w:r>
    </w:p>
    <w:p>
      <w:pPr>
        <w:spacing w:before="40" w:after="60"/>
      </w:pPr>
      <w:r>
        <w:rPr>
          <w:rFonts w:ascii="Consolas" w:hAnsi="Consolas"/>
          <w:color w:val="1F4F78"/>
          <w:sz w:val="16"/>
        </w:rPr>
        <w:t>.\mvnw.cmd checkstyle:checkstyle</w:t>
      </w:r>
    </w:p>
    <w:p>
      <w:pPr>
        <w:spacing w:before="40" w:after="60"/>
      </w:pPr>
      <w:r>
        <w:rPr>
          <w:rFonts w:ascii="Consolas" w:hAnsi="Consolas"/>
          <w:color w:val="1F4F78"/>
          <w:sz w:val="16"/>
        </w:rPr>
        <w:t>Start-Process .\target\site\checkstyle.html</w:t>
      </w:r>
    </w:p>
    <w:p>
      <w:pPr>
        <w:spacing w:before="40" w:after="60"/>
      </w:pPr>
      <w:r>
        <w:rPr>
          <w:rFonts w:ascii="Consolas" w:hAnsi="Consolas"/>
          <w:color w:val="1F4F78"/>
          <w:sz w:val="16"/>
        </w:rPr>
        <w:t>Start-Process .\target\site\jacoco\index.html</w:t>
      </w:r>
    </w:p>
    <w:p>
      <w:r>
        <w:t>Checkstyle produjo un reporte con advertencias; no debe interpretarse como una certificación de ausencia de incumplimientos. JaCoCo reportó 30 % de cobertura de instrucciones y 0 % de ramas en el reporte mostrado. Estas cifras identifican una oportunidad de ampliar las pruebas automatizadas.</w:t>
      </w:r>
    </w:p>
    <w:p>
      <w:pPr>
        <w:spacing w:after="40"/>
        <w:jc w:val="center"/>
      </w:pPr>
      <w:r>
        <w:drawing>
          <wp:inline xmlns:a="http://schemas.openxmlformats.org/drawingml/2006/main" xmlns:pic="http://schemas.openxmlformats.org/drawingml/2006/picture">
            <wp:extent cx="4678058" cy="233172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78058" cy="2331720"/>
                    </a:xfrm>
                    <a:prstGeom prst="rect"/>
                  </pic:spPr>
                </pic:pic>
              </a:graphicData>
            </a:graphic>
          </wp:inline>
        </w:drawing>
      </w:r>
    </w:p>
    <w:p>
      <w:pPr>
        <w:pStyle w:val="Caption"/>
        <w:jc w:val="center"/>
      </w:pPr>
      <w:r>
        <w:t>Figura 4. Reporte Checkstyle generado durante la prueba.</w:t>
      </w:r>
    </w:p>
    <w:p>
      <w:r>
        <w:t>Evidencia adicional de JaCoCo: reporte local target/site/jacoco/index.html, cuya captura general fue compartida por separado.</w:t>
      </w:r>
    </w:p>
    <w:p>
      <w:pPr>
        <w:pStyle w:val="Heading1"/>
      </w:pPr>
      <w:r>
        <w:t>6. Integración continua y publicación de imagen</w:t>
      </w:r>
    </w:p>
    <w:p>
      <w:pPr>
        <w:spacing w:before="40" w:after="60"/>
      </w:pPr>
      <w:r>
        <w:rPr>
          <w:rFonts w:ascii="Consolas" w:hAnsi="Consolas"/>
          <w:color w:val="1F4F78"/>
          <w:sz w:val="16"/>
        </w:rPr>
        <w:t>GitHub Actions: .github/workflows/ci-cd.yml</w:t>
      </w:r>
    </w:p>
    <w:p>
      <w:r>
        <w:t>El flujo ejecuta Maven clean verify, genera reportes de calidad y construye la imagen Docker. Para cambios en main, publica etiquetas latest y SHA del commit en GitHub Container Registry (GHCR).</w:t>
      </w:r>
    </w:p>
    <w:p>
      <w:r>
        <w:t>Ejecución de referencia: https://github.com/AlexEscobar97/devsu-devops-technical-challenge/actions/runs/38203353082</w:t>
      </w:r>
    </w:p>
    <w:p>
      <w:pPr>
        <w:spacing w:after="40"/>
        <w:jc w:val="center"/>
      </w:pPr>
      <w:r>
        <w:drawing>
          <wp:inline xmlns:a="http://schemas.openxmlformats.org/drawingml/2006/main" xmlns:pic="http://schemas.openxmlformats.org/drawingml/2006/picture">
            <wp:extent cx="5409845" cy="242316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9845" cy="2423160"/>
                    </a:xfrm>
                    <a:prstGeom prst="rect"/>
                  </pic:spPr>
                </pic:pic>
              </a:graphicData>
            </a:graphic>
          </wp:inline>
        </w:drawing>
      </w:r>
    </w:p>
    <w:p>
      <w:pPr>
        <w:pStyle w:val="Caption"/>
        <w:jc w:val="center"/>
      </w:pPr>
      <w:r>
        <w:t>Figura 5. Pipeline GitHub Actions con trabajos completados.</w:t>
      </w:r>
    </w:p>
    <w:p>
      <w:pPr>
        <w:spacing w:after="40"/>
        <w:jc w:val="center"/>
      </w:pPr>
      <w:r>
        <w:drawing>
          <wp:inline xmlns:a="http://schemas.openxmlformats.org/drawingml/2006/main" xmlns:pic="http://schemas.openxmlformats.org/drawingml/2006/picture">
            <wp:extent cx="4791418" cy="242316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791418" cy="2423160"/>
                    </a:xfrm>
                    <a:prstGeom prst="rect"/>
                  </pic:spPr>
                </pic:pic>
              </a:graphicData>
            </a:graphic>
          </wp:inline>
        </w:drawing>
      </w:r>
    </w:p>
    <w:p>
      <w:pPr>
        <w:pStyle w:val="Caption"/>
        <w:jc w:val="center"/>
      </w:pPr>
      <w:r>
        <w:t>Figura 6. Publicación de imagen Docker en GitHub Container Registry.</w:t>
      </w:r>
    </w:p>
    <w:p>
      <w:pPr>
        <w:pStyle w:val="Heading1"/>
      </w:pPr>
      <w:r>
        <w:t>7. Despliegue Kubernetes local</w:t>
      </w:r>
    </w:p>
    <w:p>
      <w:pPr>
        <w:spacing w:before="40" w:after="60"/>
      </w:pPr>
      <w:r>
        <w:rPr>
          <w:rFonts w:ascii="Consolas" w:hAnsi="Consolas"/>
          <w:color w:val="1F4F78"/>
          <w:sz w:val="16"/>
        </w:rPr>
        <w:t>kubectl config current-context</w:t>
      </w:r>
    </w:p>
    <w:p>
      <w:pPr>
        <w:spacing w:before="40" w:after="60"/>
      </w:pPr>
      <w:r>
        <w:rPr>
          <w:rFonts w:ascii="Consolas" w:hAnsi="Consolas"/>
          <w:color w:val="1F4F78"/>
          <w:sz w:val="16"/>
        </w:rPr>
        <w:t>kubectl get nodes</w:t>
      </w:r>
    </w:p>
    <w:p>
      <w:pPr>
        <w:spacing w:before="40" w:after="60"/>
      </w:pPr>
      <w:r>
        <w:rPr>
          <w:rFonts w:ascii="Consolas" w:hAnsi="Consolas"/>
          <w:color w:val="1F4F78"/>
          <w:sz w:val="16"/>
        </w:rPr>
        <w:t>kubectl apply -f k8s/</w:t>
      </w:r>
    </w:p>
    <w:p>
      <w:pPr>
        <w:spacing w:before="40" w:after="60"/>
      </w:pPr>
      <w:r>
        <w:rPr>
          <w:rFonts w:ascii="Consolas" w:hAnsi="Consolas"/>
          <w:color w:val="1F4F78"/>
          <w:sz w:val="16"/>
        </w:rPr>
        <w:t>kubectl rollout status deployment/devsu-java --timeout=360s</w:t>
      </w:r>
    </w:p>
    <w:p>
      <w:pPr>
        <w:spacing w:before="40" w:after="60"/>
      </w:pPr>
      <w:r>
        <w:rPr>
          <w:rFonts w:ascii="Consolas" w:hAnsi="Consolas"/>
          <w:color w:val="1F4F78"/>
          <w:sz w:val="16"/>
        </w:rPr>
        <w:t>kubectl get pods   |   kubectl get deployments</w:t>
      </w:r>
    </w:p>
    <w:p>
      <w:r>
        <w:t>Se utilizó el contexto docker-desktop. El nodo apareció Ready; el despliegue finalizó satisfactoriamente y se verificaron dos Pods en estado Running, con Deployment READY 2/2.</w:t>
      </w:r>
    </w:p>
    <w:p>
      <w:pPr>
        <w:spacing w:after="40"/>
        <w:jc w:val="center"/>
      </w:pPr>
      <w:r>
        <w:drawing>
          <wp:inline xmlns:a="http://schemas.openxmlformats.org/drawingml/2006/main" xmlns:pic="http://schemas.openxmlformats.org/drawingml/2006/picture">
            <wp:extent cx="6263640" cy="1477827"/>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263640" cy="1477827"/>
                    </a:xfrm>
                    <a:prstGeom prst="rect"/>
                  </pic:spPr>
                </pic:pic>
              </a:graphicData>
            </a:graphic>
          </wp:inline>
        </w:drawing>
      </w:r>
    </w:p>
    <w:p>
      <w:pPr>
        <w:pStyle w:val="Caption"/>
        <w:jc w:val="center"/>
      </w:pPr>
      <w:r>
        <w:t>Figura 7. Rollout exitoso, dos Pods Running y Deployment 2/2.</w:t>
      </w:r>
    </w:p>
    <w:p>
      <w:pPr>
        <w:spacing w:before="40" w:after="60"/>
      </w:pPr>
      <w:r>
        <w:rPr>
          <w:rFonts w:ascii="Consolas" w:hAnsi="Consolas"/>
          <w:color w:val="1F4F78"/>
          <w:sz w:val="16"/>
        </w:rPr>
        <w:t>kubectl port-forward service/devsu-java-service 8080:8000</w:t>
      </w:r>
    </w:p>
    <w:p>
      <w:r>
        <w:t>El port-forward permitió acceder localmente al servicio. No equivale a disponer de una URL pública permanente.</w:t>
      </w:r>
    </w:p>
    <w:p>
      <w:pPr>
        <w:spacing w:after="40"/>
        <w:jc w:val="center"/>
      </w:pPr>
      <w:r>
        <w:drawing>
          <wp:inline xmlns:a="http://schemas.openxmlformats.org/drawingml/2006/main" xmlns:pic="http://schemas.openxmlformats.org/drawingml/2006/picture">
            <wp:extent cx="6263640" cy="2097666"/>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263640" cy="2097666"/>
                    </a:xfrm>
                    <a:prstGeom prst="rect"/>
                  </pic:spPr>
                </pic:pic>
              </a:graphicData>
            </a:graphic>
          </wp:inline>
        </w:drawing>
      </w:r>
    </w:p>
    <w:p>
      <w:pPr>
        <w:pStyle w:val="Caption"/>
        <w:jc w:val="center"/>
      </w:pPr>
      <w:r>
        <w:t>Figura 8. Acceso local al Service mediante port-forward.</w:t>
      </w:r>
    </w:p>
    <w:p>
      <w:pPr>
        <w:pStyle w:val="Heading1"/>
      </w:pPr>
      <w:r>
        <w:t>8. Métricas y escalamiento horizontal</w:t>
      </w:r>
    </w:p>
    <w:p>
      <w:pPr>
        <w:spacing w:before="40" w:after="60"/>
      </w:pPr>
      <w:r>
        <w:rPr>
          <w:rFonts w:ascii="Consolas" w:hAnsi="Consolas"/>
          <w:color w:val="1F4F78"/>
          <w:sz w:val="16"/>
        </w:rPr>
        <w:t>kubectl rollout status deployment/metrics-server -n kube-system --timeout=180s</w:t>
      </w:r>
    </w:p>
    <w:p>
      <w:pPr>
        <w:spacing w:before="40" w:after="60"/>
      </w:pPr>
      <w:r>
        <w:rPr>
          <w:rFonts w:ascii="Consolas" w:hAnsi="Consolas"/>
          <w:color w:val="1F4F78"/>
          <w:sz w:val="16"/>
        </w:rPr>
        <w:t>kubectl top pods</w:t>
      </w:r>
    </w:p>
    <w:p>
      <w:pPr>
        <w:spacing w:before="40" w:after="60"/>
      </w:pPr>
      <w:r>
        <w:rPr>
          <w:rFonts w:ascii="Consolas" w:hAnsi="Consolas"/>
          <w:color w:val="1F4F78"/>
          <w:sz w:val="16"/>
        </w:rPr>
        <w:t>kubectl get hpa</w:t>
      </w:r>
    </w:p>
    <w:p>
      <w:r>
        <w:t>Tras corregir la conectividad de Metrics Server en el clúster local, se observaron consumos de CPU de 9m y 8m y memoria de 203Mi y 210Mi. El HPA mostró cpu: 8%/70%, mínimo 2, máximo 4 y 2 réplicas actuales. Esto confirma que recibe métricas, pero no prueba un aumento efectivo de réplicas bajo carga.</w:t>
      </w:r>
    </w:p>
    <w:p>
      <w:pPr>
        <w:spacing w:after="40"/>
        <w:jc w:val="center"/>
      </w:pPr>
      <w:r>
        <w:drawing>
          <wp:inline xmlns:a="http://schemas.openxmlformats.org/drawingml/2006/main" xmlns:pic="http://schemas.openxmlformats.org/drawingml/2006/picture">
            <wp:extent cx="6263640" cy="1673566"/>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263640" cy="1673566"/>
                    </a:xfrm>
                    <a:prstGeom prst="rect"/>
                  </pic:spPr>
                </pic:pic>
              </a:graphicData>
            </a:graphic>
          </wp:inline>
        </w:drawing>
      </w:r>
    </w:p>
    <w:p>
      <w:pPr>
        <w:pStyle w:val="Caption"/>
        <w:jc w:val="center"/>
      </w:pPr>
      <w:r>
        <w:t>Figura 9. Metrics Server operativo y HPA con métricas de CPU.</w:t>
      </w:r>
    </w:p>
    <w:p>
      <w:pPr>
        <w:pStyle w:val="Heading1"/>
      </w:pPr>
      <w:r>
        <w:t>9. Consideraciones y pendientes</w:t>
      </w:r>
    </w:p>
    <w:p>
      <w:r>
        <w:t>La solución fue verificada en Docker Desktop, no en un clúster de nube. La aplicación utiliza H2 para fines de demostración; una arquitectura con múltiples réplicas requiere revisar persistencia compartida o una base externa. El pipeline documentado realiza CI y publicación de imagen, pero no se presenta como despliegue automático al clúster local. Para producción se recomienda TLS, Ingress, gestión segura de secretos, imágenes inmutables, observabilidad y políticas de acceso.</w:t>
      </w:r>
    </w:p>
    <w:p>
      <w:pPr>
        <w:pStyle w:val="Heading1"/>
      </w:pPr>
      <w:r>
        <w:t>10. Material de entrega</w:t>
      </w:r>
    </w:p>
    <w:p>
      <w:r>
        <w:t>El repositorio público contiene el código, Dockerfile, workflow y manifiestos Kubernetes. Este informe se incorpora en doc/ y también se incluye en el ZIP/RAR de entrega junto con el proyecto. Las capturas reflejan los resultados observados durante la ejecución local.</w:t>
      </w:r>
    </w:p>
    <w:p>
      <w:r>
        <w:t>Repositorio: https://github.com/AlexEscobar97/devsu-devops-technical-challenge</w:t>
      </w:r>
    </w:p>
    <w:p>
      <w:r>
        <w:t>Pipeline: https://github.com/AlexEscobar97/devsu-devops-technical-challenge/actions/runs/38203353082</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Evidencias técnicas  •  Java / Docker / GitHub Actions / Kubernetes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DEVSU  /  RETO TÉCNICO DEVOPS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A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A5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A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