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685a0b22d3a335dfa5e08e54c6cd3a786b134e4c.png"/>
            <a:graphic>
              <a:graphicData uri="http://schemas.openxmlformats.org/drawingml/2006/picture">
                <pic:pic>
                  <pic:nvPicPr>
                    <pic:cNvPr id="1" name="image-685a0b22d3a335dfa5e08e54c6cd3a786b134e4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Comment Socium Payroll simplifie-t-il la génération et la distribution des bulletins de paie</w:t>
      </w:r>
    </w:p>
    <w:p>
      <w:pPr>
        <w:spacing w:line="360" w:after="210" w:lineRule="auto"/>
      </w:pPr>
      <w:r>
        <w:rPr>
          <w:rFonts w:eastAsia="inter" w:cs="inter" w:ascii="inter" w:hAnsi="inter"/>
          <w:color w:val="000000"/>
        </w:rPr>
        <w:t xml:space="preserve">Socium Payroll simplifie la génération et la distribution des bulletins de paie principalement grâce à une automatisation complète et sécurisée du processus. Voici comment :</w:t>
      </w:r>
    </w:p>
    <w:p>
      <w:pPr>
        <w:numPr>
          <w:ilvl w:val="0"/>
          <w:numId w:val="1"/>
        </w:numPr>
        <w:spacing w:line="360" w:after="210" w:lineRule="auto"/>
      </w:pPr>
      <w:r>
        <w:rPr>
          <w:rFonts w:eastAsia="inter" w:cs="inter" w:ascii="inter" w:hAnsi="inter"/>
          <w:b/>
          <w:color w:val="000000"/>
          <w:sz w:val="21"/>
        </w:rPr>
        <w:t xml:space="preserve">Automatisation des calculs et génération en un clic</w:t>
      </w:r>
      <w:r>
        <w:rPr>
          <w:rFonts w:eastAsia="inter" w:cs="inter" w:ascii="inter" w:hAnsi="inter"/>
          <w:color w:val="000000"/>
          <w:sz w:val="21"/>
        </w:rPr>
        <w:t xml:space="preserve"> : Socium Payroll automatise les calculs complexes de la paie et permet de générer des bulletins conformes aux réglementations locales en un seul clic, éliminant ainsi les tâches manuelles fastidieuses et réduisant les risques d’erreurs</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Distribution simplifiée et sécurisée</w:t>
      </w:r>
      <w:r>
        <w:rPr>
          <w:rFonts w:eastAsia="inter" w:cs="inter" w:ascii="inter" w:hAnsi="inter"/>
          <w:color w:val="000000"/>
          <w:sz w:val="21"/>
        </w:rPr>
        <w:t xml:space="preserve"> : Les bulletins de paie sont transmis facilement aux collaborateurs, avec une distribution dématérialisée qui garantit un accès rapide et sécurisé aux documents via un espace personnel dédié. Cette dématérialisation évite les impressions papier, facilite l’archivage et offre une meilleure traçabilité</w:t>
      </w:r>
      <w:bookmarkStart w:id="1" w:name="fnref1:1"/>
      <w:bookmarkEnd w:id="1"/>
      <w:hyperlink w:anchor="fn1">
        <w:r>
          <w:rPr>
            <w:rFonts w:eastAsia="inter" w:cs="inter" w:ascii="inter" w:hAnsi="inter"/>
            <w:color w:val="#000"/>
            <w:sz w:val="21"/>
            <w:u w:val="single"/>
            <w:vertAlign w:val="superscript"/>
          </w:rPr>
          <w:t xml:space="preserve">[1]</w:t>
        </w:r>
      </w:hyperlink>
      <w:bookmarkStart w:id="2" w:name="fnref2"/>
      <w:bookmarkEnd w:id="2"/>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Mises à jour automatiques des règles légales</w:t>
      </w:r>
      <w:r>
        <w:rPr>
          <w:rFonts w:eastAsia="inter" w:cs="inter" w:ascii="inter" w:hAnsi="inter"/>
          <w:color w:val="000000"/>
          <w:sz w:val="21"/>
        </w:rPr>
        <w:t xml:space="preserve"> : La solution intègre automatiquement les évolutions réglementaires, assurant que chaque bulletin de paie est conforme sans intervention manuelle supplémentaire</w:t>
      </w:r>
      <w:bookmarkStart w:id="3" w:name="fnref1:2"/>
      <w:bookmarkEnd w:id="3"/>
      <w:hyperlink w:anchor="fn1">
        <w:r>
          <w:rPr>
            <w:rFonts w:eastAsia="inter" w:cs="inter" w:ascii="inter" w:hAnsi="inter"/>
            <w:color w:val="#000"/>
            <w:sz w:val="21"/>
            <w:u w:val="single"/>
            <w:vertAlign w:val="superscript"/>
          </w:rPr>
          <w:t xml:space="preserve">[1]</w:t>
        </w:r>
      </w:hyperlink>
      <w:bookmarkStart w:id="4" w:name="fnref3"/>
      <w:bookmarkEnd w:id="4"/>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Tableaux de bord et suivi</w:t>
      </w:r>
      <w:r>
        <w:rPr>
          <w:rFonts w:eastAsia="inter" w:cs="inter" w:ascii="inter" w:hAnsi="inter"/>
          <w:color w:val="000000"/>
          <w:sz w:val="21"/>
        </w:rPr>
        <w:t xml:space="preserve"> : Socium Payroll fournit des tableaux de bord analytiques pour suivre la masse salariale et contrôler la production des bulletins, ce qui facilite la gestion et la vérification avant distribution</w:t>
      </w:r>
      <w:bookmarkStart w:id="5" w:name="fnref1:3"/>
      <w:bookmarkEnd w:id="5"/>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Réduction de la charge mentale et gain de temps</w:t>
      </w:r>
      <w:r>
        <w:rPr>
          <w:rFonts w:eastAsia="inter" w:cs="inter" w:ascii="inter" w:hAnsi="inter"/>
          <w:color w:val="000000"/>
          <w:sz w:val="21"/>
        </w:rPr>
        <w:t xml:space="preserve"> : En automatisant ces étapes, Socium Payroll libère les équipes RH des tâches répétitives, leur permettant de se concentrer sur des missions à plus forte valeur ajoutée</w:t>
      </w:r>
      <w:bookmarkStart w:id="6" w:name="fnref1:4"/>
      <w:bookmarkEnd w:id="6"/>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En résumé, Socium Payroll combine automatisation des calculs, génération rapide, distribution électronique sécurisée et conformité légale mise à jour en continu pour simplifier efficacement la gestion des bulletins de paie</w:t>
      </w:r>
      <w:bookmarkStart w:id="7" w:name="fnref1:5"/>
      <w:bookmarkEnd w:id="7"/>
      <w:hyperlink w:anchor="fn1">
        <w:r>
          <w:rPr>
            <w:rFonts w:eastAsia="inter" w:cs="inter" w:ascii="inter" w:hAnsi="inter"/>
            <w:color w:val="#000"/>
            <w:u w:val="single"/>
            <w:vertAlign w:val="superscript"/>
          </w:rPr>
          <w:t xml:space="preserve">[1]</w:t>
        </w:r>
      </w:hyperlink>
      <w:bookmarkStart w:id="8" w:name="fnref2:1"/>
      <w:bookmarkEnd w:id="8"/>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9" w:name="fn1"/>
    <w:bookmarkEnd w:id="9"/>
    <w:p>
      <w:pPr>
        <w:numPr>
          <w:ilvl w:val="0"/>
          <w:numId w:val="3"/>
        </w:numPr>
        <w:spacing w:line="360" w:after="210" w:lineRule="auto"/>
      </w:pPr>
      <w:hyperlink r:id="rId6">
        <w:r>
          <w:rPr>
            <w:rFonts w:eastAsia="inter" w:cs="inter" w:ascii="inter" w:hAnsi="inter"/>
            <w:color w:val="#000"/>
            <w:sz w:val="18"/>
            <w:u w:val="single"/>
          </w:rPr>
          <w:t xml:space="preserve">https://socium.link/produit/gestion-de-la-paie/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 w:name="fn2"/>
    <w:bookmarkEnd w:id="10"/>
    <w:p>
      <w:pPr>
        <w:numPr>
          <w:ilvl w:val="0"/>
          <w:numId w:val="3"/>
        </w:numPr>
        <w:spacing w:line="360" w:after="210" w:lineRule="auto"/>
      </w:pPr>
      <w:hyperlink r:id="rId7">
        <w:r>
          <w:rPr>
            <w:rFonts w:eastAsia="inter" w:cs="inter" w:ascii="inter" w:hAnsi="inter"/>
            <w:color w:val="#000"/>
            <w:sz w:val="18"/>
            <w:u w:val="single"/>
          </w:rPr>
          <w:t xml:space="preserve">https://www.paybee.fr/dematerialisation-des-bulletins-de-paie/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1" w:name="fn3"/>
    <w:bookmarkEnd w:id="11"/>
    <w:p>
      <w:pPr>
        <w:numPr>
          <w:ilvl w:val="0"/>
          <w:numId w:val="3"/>
        </w:numPr>
        <w:spacing w:line="360" w:after="210" w:lineRule="auto"/>
      </w:pPr>
      <w:hyperlink r:id="rId8">
        <w:r>
          <w:rPr>
            <w:rFonts w:eastAsia="inter" w:cs="inter" w:ascii="inter" w:hAnsi="inter"/>
            <w:color w:val="#000"/>
            <w:sz w:val="18"/>
            <w:u w:val="single"/>
          </w:rPr>
          <w:t xml:space="preserve">https://socium.link/decouvrez-les-meilleures-pratiques-rh-sur-socium-payroll-revolutionnez-la-gestion-des-talents-et-de-la-paie-en-afrique/</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85a0b22d3a335dfa5e08e54c6cd3a786b134e4c.png" TargetMode="Internal"/><Relationship Id="rId6" Type="http://schemas.openxmlformats.org/officeDocument/2006/relationships/hyperlink" Target="https://socium.link/produit/gestion-de-la-paie/" TargetMode="External"/><Relationship Id="rId7" Type="http://schemas.openxmlformats.org/officeDocument/2006/relationships/hyperlink" Target="https://www.paybee.fr/dematerialisation-des-bulletins-de-paie/" TargetMode="External"/><Relationship Id="rId8" Type="http://schemas.openxmlformats.org/officeDocument/2006/relationships/hyperlink" Target="https://socium.link/decouvrez-les-meilleures-pratiques-rh-sur-socium-payroll-revolutionnez-la-gestion-des-talents-et-de-la-paie-en-afrique/"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2025-04-21T19:39:46.213Z</dcterms:created>
  <dcterms:modified xsi:type="dcterms:W3CDTF">2025-04-21T19:39:46.213Z</dcterms:modified>
</cp:coreProperties>
</file>