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f55ea59396b04031910de3f7cb23a20cbc263882.png"/>
            <a:graphic>
              <a:graphicData uri="http://schemas.openxmlformats.org/drawingml/2006/picture">
                <pic:pic>
                  <pic:nvPicPr>
                    <pic:cNvPr id="1" name="image-f55ea59396b04031910de3f7cb23a20cbc263882.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Quelles sont les principales fonctionnalités de Socium Payroll</w:t>
      </w:r>
    </w:p>
    <w:p>
      <w:pPr>
        <w:spacing w:line="360" w:after="210" w:lineRule="auto"/>
      </w:pPr>
      <w:r>
        <w:rPr>
          <w:rFonts w:eastAsia="inter" w:cs="inter" w:ascii="inter" w:hAnsi="inter"/>
          <w:color w:val="000000"/>
        </w:rPr>
        <w:t xml:space="preserve">Les principales fonctionnalités de Socium Payroll sont les suivantes :</w:t>
      </w:r>
    </w:p>
    <w:p>
      <w:pPr>
        <w:numPr>
          <w:ilvl w:val="0"/>
          <w:numId w:val="1"/>
        </w:numPr>
        <w:spacing w:line="360" w:after="210" w:lineRule="auto"/>
      </w:pPr>
      <w:r>
        <w:rPr>
          <w:rFonts w:eastAsia="inter" w:cs="inter" w:ascii="inter" w:hAnsi="inter"/>
          <w:b/>
          <w:color w:val="000000"/>
          <w:sz w:val="21"/>
        </w:rPr>
        <w:t xml:space="preserve">Automatisation complète de la paie</w:t>
      </w:r>
      <w:r>
        <w:rPr>
          <w:rFonts w:eastAsia="inter" w:cs="inter" w:ascii="inter" w:hAnsi="inter"/>
          <w:color w:val="000000"/>
          <w:sz w:val="21"/>
        </w:rPr>
        <w:t xml:space="preserve"> : calculs automatiques des salaires et génération des bulletins de paie conformes en un clic, ce qui simplifie grandement la gestion des salaires et réduit les erreurs</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Génération et distribution des bulletins de paie</w:t>
      </w:r>
      <w:r>
        <w:rPr>
          <w:rFonts w:eastAsia="inter" w:cs="inter" w:ascii="inter" w:hAnsi="inter"/>
          <w:color w:val="000000"/>
          <w:sz w:val="21"/>
        </w:rPr>
        <w:t xml:space="preserve"> : création et transmission simplifiées des fiches de paie aux collaborateurs, avec archivage sécurisé</w:t>
      </w:r>
      <w:bookmarkStart w:id="2" w:name="fnref1:1"/>
      <w:bookmarkEnd w:id="2"/>
      <w:hyperlink w:anchor="fn1">
        <w:r>
          <w:rPr>
            <w:rFonts w:eastAsia="inter" w:cs="inter" w:ascii="inter" w:hAnsi="inter"/>
            <w:color w:val="#000"/>
            <w:sz w:val="21"/>
            <w:u w:val="single"/>
            <w:vertAlign w:val="superscript"/>
          </w:rPr>
          <w:t xml:space="preserve">[1]</w:t>
        </w:r>
      </w:hyperlink>
      <w:bookmarkStart w:id="3" w:name="fnref2:1"/>
      <w:bookmarkEnd w:id="3"/>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Déclarations fiscales et sociales automatisées</w:t>
      </w:r>
      <w:r>
        <w:rPr>
          <w:rFonts w:eastAsia="inter" w:cs="inter" w:ascii="inter" w:hAnsi="inter"/>
          <w:color w:val="000000"/>
          <w:sz w:val="21"/>
        </w:rPr>
        <w:t xml:space="preserve"> : envoi automatisé des déclarations aux organismes compétents pour un traitement rapide et sécurisé, assurant la conformité réglementaire</w:t>
      </w:r>
      <w:bookmarkStart w:id="4" w:name="fnref1:2"/>
      <w:bookmarkEnd w:id="4"/>
      <w:hyperlink w:anchor="fn1">
        <w:r>
          <w:rPr>
            <w:rFonts w:eastAsia="inter" w:cs="inter" w:ascii="inter" w:hAnsi="inter"/>
            <w:color w:val="#000"/>
            <w:sz w:val="21"/>
            <w:u w:val="single"/>
            <w:vertAlign w:val="superscript"/>
          </w:rPr>
          <w:t xml:space="preserve">[1]</w:t>
        </w:r>
      </w:hyperlink>
      <w:bookmarkStart w:id="5" w:name="fnref2:2"/>
      <w:bookmarkEnd w:id="5"/>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Bilan comptable automatisé</w:t>
      </w:r>
      <w:r>
        <w:rPr>
          <w:rFonts w:eastAsia="inter" w:cs="inter" w:ascii="inter" w:hAnsi="inter"/>
          <w:color w:val="000000"/>
          <w:sz w:val="21"/>
        </w:rPr>
        <w:t xml:space="preserve"> : production d’états financiers précis et conformes pour la comptabilité, facilitant l’intégration avec les systèmes comptables</w:t>
      </w:r>
      <w:bookmarkStart w:id="6" w:name="fnref1:3"/>
      <w:bookmarkEnd w:id="6"/>
      <w:hyperlink w:anchor="fn1">
        <w:r>
          <w:rPr>
            <w:rFonts w:eastAsia="inter" w:cs="inter" w:ascii="inter" w:hAnsi="inter"/>
            <w:color w:val="#000"/>
            <w:sz w:val="21"/>
            <w:u w:val="single"/>
            <w:vertAlign w:val="superscript"/>
          </w:rPr>
          <w:t xml:space="preserve">[1]</w:t>
        </w:r>
      </w:hyperlink>
      <w:bookmarkStart w:id="7" w:name="fnref2:3"/>
      <w:bookmarkEnd w:id="7"/>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Tableaux de bord analytiques</w:t>
      </w:r>
      <w:r>
        <w:rPr>
          <w:rFonts w:eastAsia="inter" w:cs="inter" w:ascii="inter" w:hAnsi="inter"/>
          <w:color w:val="000000"/>
          <w:sz w:val="21"/>
        </w:rPr>
        <w:t xml:space="preserve"> : suivi clair et détaillé de la masse salariale et des indicateurs clés pour aider à la prise de décisions stratégiques</w:t>
      </w:r>
      <w:bookmarkStart w:id="8" w:name="fnref1:4"/>
      <w:bookmarkEnd w:id="8"/>
      <w:hyperlink w:anchor="fn1">
        <w:r>
          <w:rPr>
            <w:rFonts w:eastAsia="inter" w:cs="inter" w:ascii="inter" w:hAnsi="inter"/>
            <w:color w:val="#000"/>
            <w:sz w:val="21"/>
            <w:u w:val="single"/>
            <w:vertAlign w:val="superscript"/>
          </w:rPr>
          <w:t xml:space="preserve">[1]</w:t>
        </w:r>
      </w:hyperlink>
      <w:bookmarkStart w:id="9" w:name="fnref2:4"/>
      <w:bookmarkEnd w:id="9"/>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Mises à jour automatiques des réglementations</w:t>
      </w:r>
      <w:r>
        <w:rPr>
          <w:rFonts w:eastAsia="inter" w:cs="inter" w:ascii="inter" w:hAnsi="inter"/>
          <w:color w:val="000000"/>
          <w:sz w:val="21"/>
        </w:rPr>
        <w:t xml:space="preserve"> : maintien permanent de la conformité grâce à l’intégration des évolutions légales locales</w:t>
      </w:r>
      <w:bookmarkStart w:id="10" w:name="fnref1:5"/>
      <w:bookmarkEnd w:id="10"/>
      <w:hyperlink w:anchor="fn1">
        <w:r>
          <w:rPr>
            <w:rFonts w:eastAsia="inter" w:cs="inter" w:ascii="inter" w:hAnsi="inter"/>
            <w:color w:val="#000"/>
            <w:sz w:val="21"/>
            <w:u w:val="single"/>
            <w:vertAlign w:val="superscript"/>
          </w:rPr>
          <w:t xml:space="preserve">[1]</w:t>
        </w:r>
      </w:hyperlink>
      <w:bookmarkStart w:id="11" w:name="fnref2:5"/>
      <w:bookmarkEnd w:id="1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Gain de temps et réduction de la charge mentale</w:t>
      </w:r>
      <w:r>
        <w:rPr>
          <w:rFonts w:eastAsia="inter" w:cs="inter" w:ascii="inter" w:hAnsi="inter"/>
          <w:color w:val="000000"/>
          <w:sz w:val="21"/>
        </w:rPr>
        <w:t xml:space="preserve"> : automatisation des tâches administratives liées à la paie, permettant aux équipes RH de se concentrer sur des missions à plus forte valeur ajoutée</w:t>
      </w:r>
      <w:bookmarkStart w:id="12" w:name="fnref3"/>
      <w:bookmarkEnd w:id="12"/>
      <w:hyperlink w:anchor="fn3">
        <w:r>
          <w:rPr>
            <w:rFonts w:eastAsia="inter" w:cs="inter" w:ascii="inter" w:hAnsi="inter"/>
            <w:color w:val="#000"/>
            <w:sz w:val="21"/>
            <w:u w:val="single"/>
            <w:vertAlign w:val="superscript"/>
          </w:rPr>
          <w:t xml:space="preserve">[3]</w:t>
        </w:r>
      </w:hyperlink>
      <w:bookmarkStart w:id="13" w:name="fnref1:6"/>
      <w:bookmarkEnd w:id="13"/>
      <w:hyperlink w:anchor="fn1">
        <w:r>
          <w:rPr>
            <w:rFonts w:eastAsia="inter" w:cs="inter" w:ascii="inter" w:hAnsi="inter"/>
            <w:color w:val="#000"/>
            <w:sz w:val="21"/>
            <w:u w:val="single"/>
            <w:vertAlign w:val="superscript"/>
          </w:rPr>
          <w:t xml:space="preserve">[1]</w:t>
        </w:r>
      </w:hyperlink>
      <w:bookmarkStart w:id="14" w:name="fnref2:6"/>
      <w:bookmarkEnd w:id="14"/>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Espace collaborateur dédié</w:t>
      </w:r>
      <w:r>
        <w:rPr>
          <w:rFonts w:eastAsia="inter" w:cs="inter" w:ascii="inter" w:hAnsi="inter"/>
          <w:color w:val="000000"/>
          <w:sz w:val="21"/>
        </w:rPr>
        <w:t xml:space="preserve"> : amélioration de l’expérience employé avec un accès facilité aux documents et demandes (congés, notes de frais, etc.) via la plateforme Socium</w:t>
      </w:r>
      <w:bookmarkStart w:id="15" w:name="fnref3:1"/>
      <w:bookmarkEnd w:id="15"/>
      <w:hyperlink w:anchor="fn3">
        <w:r>
          <w:rPr>
            <w:rFonts w:eastAsia="inter" w:cs="inter" w:ascii="inter" w:hAnsi="inter"/>
            <w:color w:val="#000"/>
            <w:sz w:val="21"/>
            <w:u w:val="single"/>
            <w:vertAlign w:val="superscript"/>
          </w:rPr>
          <w:t xml:space="preserve">[3]</w:t>
        </w:r>
      </w:hyperlink>
      <w:bookmarkStart w:id="16" w:name="fnref4"/>
      <w:bookmarkEnd w:id="16"/>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Socium Payroll s’inscrit ainsi dans une suite intégrée de gestion RH, avec une forte orientation vers la simplicité, la conformité et la digitalisation des processus de paie adaptés notamment au contexte africain</w:t>
      </w:r>
      <w:bookmarkStart w:id="17" w:name="fnref3:2"/>
      <w:bookmarkEnd w:id="17"/>
      <w:hyperlink w:anchor="fn3">
        <w:r>
          <w:rPr>
            <w:rFonts w:eastAsia="inter" w:cs="inter" w:ascii="inter" w:hAnsi="inter"/>
            <w:color w:val="#000"/>
            <w:u w:val="single"/>
            <w:vertAlign w:val="superscript"/>
          </w:rPr>
          <w:t xml:space="preserve">[3]</w:t>
        </w:r>
      </w:hyperlink>
      <w:bookmarkStart w:id="18" w:name="fnref4:1"/>
      <w:bookmarkEnd w:id="18"/>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9" w:name="fn1"/>
    <w:bookmarkEnd w:id="19"/>
    <w:p>
      <w:pPr>
        <w:numPr>
          <w:ilvl w:val="0"/>
          <w:numId w:val="3"/>
        </w:numPr>
        <w:spacing w:line="360" w:after="210" w:lineRule="auto"/>
      </w:pPr>
      <w:hyperlink r:id="rId6">
        <w:r>
          <w:rPr>
            <w:rFonts w:eastAsia="inter" w:cs="inter" w:ascii="inter" w:hAnsi="inter"/>
            <w:color w:val="#000"/>
            <w:sz w:val="18"/>
            <w:u w:val="single"/>
          </w:rPr>
          <w:t xml:space="preserve">https://socium.link/produit/gestion-de-la-paie/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2"/>
    <w:bookmarkEnd w:id="20"/>
    <w:p>
      <w:pPr>
        <w:numPr>
          <w:ilvl w:val="0"/>
          <w:numId w:val="3"/>
        </w:numPr>
        <w:spacing w:line="360" w:after="210" w:lineRule="auto"/>
      </w:pPr>
      <w:hyperlink r:id="rId7">
        <w:r>
          <w:rPr>
            <w:rFonts w:eastAsia="inter" w:cs="inter" w:ascii="inter" w:hAnsi="inter"/>
            <w:color w:val="#000"/>
            <w:sz w:val="18"/>
            <w:u w:val="single"/>
          </w:rPr>
          <w:t xml:space="preserve">https://socium.link/produit/automatisation-de-la-paie/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3"/>
    <w:bookmarkEnd w:id="21"/>
    <w:p>
      <w:pPr>
        <w:numPr>
          <w:ilvl w:val="0"/>
          <w:numId w:val="3"/>
        </w:numPr>
        <w:spacing w:line="360" w:after="210" w:lineRule="auto"/>
      </w:pPr>
      <w:hyperlink r:id="rId8">
        <w:r>
          <w:rPr>
            <w:rFonts w:eastAsia="inter" w:cs="inter" w:ascii="inter" w:hAnsi="inter"/>
            <w:color w:val="#000"/>
            <w:sz w:val="18"/>
            <w:u w:val="single"/>
          </w:rPr>
          <w:t xml:space="preserve">https://socium.link</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4"/>
    <w:bookmarkEnd w:id="22"/>
    <w:p>
      <w:pPr>
        <w:numPr>
          <w:ilvl w:val="0"/>
          <w:numId w:val="3"/>
        </w:numPr>
        <w:spacing w:line="360" w:after="210" w:lineRule="auto"/>
      </w:pPr>
      <w:hyperlink r:id="rId9">
        <w:r>
          <w:rPr>
            <w:rFonts w:eastAsia="inter" w:cs="inter" w:ascii="inter" w:hAnsi="inter"/>
            <w:color w:val="#000"/>
            <w:sz w:val="18"/>
            <w:u w:val="single"/>
          </w:rPr>
          <w:t xml:space="preserve">https://socium.link/les-avantages-incontestables-dun-sirh-adapte-au-marche-africain-socium-la-solution-rh-concue-pour-repondre-aux-besoins-specifiques/</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abstractNum>
  <w:abstractNum w:abstractNumId="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55ea59396b04031910de3f7cb23a20cbc263882.png" TargetMode="Internal"/><Relationship Id="rId6" Type="http://schemas.openxmlformats.org/officeDocument/2006/relationships/hyperlink" Target="https://socium.link/produit/gestion-de-la-paie/" TargetMode="External"/><Relationship Id="rId7" Type="http://schemas.openxmlformats.org/officeDocument/2006/relationships/hyperlink" Target="https://socium.link/produit/automatisation-de-la-paie/" TargetMode="External"/><Relationship Id="rId8" Type="http://schemas.openxmlformats.org/officeDocument/2006/relationships/hyperlink" Target="https://socium.link" TargetMode="External"/><Relationship Id="rId9" Type="http://schemas.openxmlformats.org/officeDocument/2006/relationships/hyperlink" Target="https://socium.link/les-avantages-incontestables-dun-sirh-adapte-au-marche-africain-socium-la-solution-rh-concue-pour-repondre-aux-besoins-specifique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2025-04-22T10:14:47.127Z</dcterms:created>
  <dcterms:modified xsi:type="dcterms:W3CDTF">2025-04-22T10:14:47.127Z</dcterms:modified>
</cp:coreProperties>
</file>